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1829" w:rsidRPr="00C44760" w:rsidRDefault="00701829" w:rsidP="00701829">
      <w:pPr>
        <w:pStyle w:val="quotepara"/>
        <w:rPr>
          <w:sz w:val="22"/>
          <w:szCs w:val="22"/>
          <w:lang w:val="en-US"/>
        </w:rPr>
      </w:pPr>
      <w:r w:rsidRPr="00C44760">
        <w:rPr>
          <w:sz w:val="22"/>
          <w:szCs w:val="22"/>
          <w:lang w:val="en-US"/>
        </w:rPr>
        <w:t>This is the post-print version (author a</w:t>
      </w:r>
      <w:r w:rsidRPr="00701829">
        <w:rPr>
          <w:rStyle w:val="Emphasis"/>
          <w:i w:val="0"/>
          <w:sz w:val="22"/>
          <w:szCs w:val="22"/>
          <w:lang w:val="en-US"/>
        </w:rPr>
        <w:t>ccepted manuscript</w:t>
      </w:r>
      <w:r w:rsidRPr="00C44760">
        <w:rPr>
          <w:sz w:val="22"/>
          <w:szCs w:val="22"/>
          <w:lang w:val="en-US"/>
        </w:rPr>
        <w:t xml:space="preserve">) of the article: </w:t>
      </w:r>
      <w:r w:rsidRPr="00C44760">
        <w:rPr>
          <w:sz w:val="22"/>
          <w:szCs w:val="22"/>
          <w:lang w:val="en-US"/>
        </w:rPr>
        <w:br/>
        <w:t xml:space="preserve">Anokhin, S., Wincent, J., Troutt, M. (2017); Measuring technological arbitrage opportunities: methodological implications for industry analysis with time series data. </w:t>
      </w:r>
      <w:r w:rsidRPr="00C44760">
        <w:rPr>
          <w:rStyle w:val="Emphasis"/>
          <w:sz w:val="22"/>
          <w:szCs w:val="22"/>
          <w:lang w:val="en-US"/>
        </w:rPr>
        <w:t>Industrial and Corporate Change</w:t>
      </w:r>
      <w:r w:rsidRPr="00C44760">
        <w:rPr>
          <w:sz w:val="22"/>
          <w:szCs w:val="22"/>
          <w:lang w:val="en-US"/>
        </w:rPr>
        <w:t xml:space="preserve">, 26(6), 1021–1038, </w:t>
      </w:r>
      <w:hyperlink r:id="rId8" w:history="1">
        <w:r w:rsidRPr="00C44760">
          <w:rPr>
            <w:rStyle w:val="Hyperlink"/>
            <w:sz w:val="22"/>
            <w:szCs w:val="22"/>
            <w:lang w:val="en-US"/>
          </w:rPr>
          <w:t>https://doi.org/10.1093/icc/dtw058</w:t>
        </w:r>
      </w:hyperlink>
      <w:r w:rsidRPr="00C44760">
        <w:rPr>
          <w:sz w:val="22"/>
          <w:szCs w:val="22"/>
          <w:lang w:val="en-US"/>
        </w:rPr>
        <w:br/>
        <w:t>Readers are asked to use the official publication in references.</w:t>
      </w:r>
      <w:bookmarkStart w:id="0" w:name="_GoBack"/>
      <w:bookmarkEnd w:id="0"/>
    </w:p>
    <w:p w:rsidR="00701829" w:rsidRDefault="00701829" w:rsidP="00EE1672">
      <w:pPr>
        <w:jc w:val="center"/>
        <w:rPr>
          <w:b/>
          <w:szCs w:val="28"/>
        </w:rPr>
      </w:pPr>
    </w:p>
    <w:p w:rsidR="00701829" w:rsidRDefault="00701829" w:rsidP="00EE1672">
      <w:pPr>
        <w:jc w:val="center"/>
        <w:rPr>
          <w:b/>
          <w:szCs w:val="28"/>
        </w:rPr>
      </w:pPr>
    </w:p>
    <w:p w:rsidR="00701829" w:rsidRDefault="00701829" w:rsidP="00EE1672">
      <w:pPr>
        <w:jc w:val="center"/>
        <w:rPr>
          <w:b/>
          <w:szCs w:val="28"/>
        </w:rPr>
      </w:pPr>
    </w:p>
    <w:p w:rsidR="00701829" w:rsidRDefault="00701829" w:rsidP="00EE1672">
      <w:pPr>
        <w:jc w:val="center"/>
        <w:rPr>
          <w:b/>
          <w:szCs w:val="28"/>
        </w:rPr>
      </w:pPr>
    </w:p>
    <w:p w:rsidR="00701829" w:rsidRDefault="00701829" w:rsidP="00EE1672">
      <w:pPr>
        <w:jc w:val="center"/>
        <w:rPr>
          <w:b/>
          <w:szCs w:val="28"/>
        </w:rPr>
      </w:pPr>
    </w:p>
    <w:p w:rsidR="00EE1672" w:rsidRDefault="00EE1672" w:rsidP="00EE1672">
      <w:pPr>
        <w:jc w:val="center"/>
        <w:rPr>
          <w:b/>
          <w:szCs w:val="28"/>
        </w:rPr>
      </w:pPr>
      <w:r w:rsidRPr="009F2415">
        <w:rPr>
          <w:b/>
          <w:szCs w:val="28"/>
        </w:rPr>
        <w:t xml:space="preserve">Measuring </w:t>
      </w:r>
      <w:r>
        <w:rPr>
          <w:b/>
          <w:szCs w:val="28"/>
        </w:rPr>
        <w:t xml:space="preserve">technological </w:t>
      </w:r>
      <w:r w:rsidRPr="009F2415">
        <w:rPr>
          <w:b/>
          <w:szCs w:val="28"/>
        </w:rPr>
        <w:t xml:space="preserve">arbitrage opportunities: </w:t>
      </w:r>
    </w:p>
    <w:p w:rsidR="00EE1672" w:rsidRPr="009F2415" w:rsidRDefault="00EE1672" w:rsidP="00EE1672">
      <w:pPr>
        <w:jc w:val="center"/>
        <w:rPr>
          <w:b/>
          <w:szCs w:val="28"/>
        </w:rPr>
      </w:pPr>
      <w:r>
        <w:rPr>
          <w:b/>
          <w:szCs w:val="28"/>
        </w:rPr>
        <w:t>M</w:t>
      </w:r>
      <w:r w:rsidRPr="009F2415">
        <w:rPr>
          <w:b/>
          <w:szCs w:val="28"/>
        </w:rPr>
        <w:t>ethodological implications</w:t>
      </w:r>
      <w:r>
        <w:rPr>
          <w:b/>
          <w:szCs w:val="28"/>
        </w:rPr>
        <w:t xml:space="preserve"> for industry analysis with</w:t>
      </w:r>
      <w:r w:rsidRPr="009F2415">
        <w:rPr>
          <w:b/>
          <w:szCs w:val="28"/>
        </w:rPr>
        <w:t xml:space="preserve"> time series data </w:t>
      </w:r>
    </w:p>
    <w:p w:rsidR="00EE1672" w:rsidRDefault="00EE1672" w:rsidP="00EE1672">
      <w:pPr>
        <w:jc w:val="center"/>
        <w:rPr>
          <w:b/>
        </w:rPr>
      </w:pPr>
    </w:p>
    <w:p w:rsidR="00EE1672" w:rsidRDefault="00EE1672" w:rsidP="00EE1672">
      <w:pPr>
        <w:jc w:val="center"/>
        <w:rPr>
          <w:b/>
        </w:rPr>
      </w:pPr>
    </w:p>
    <w:p w:rsidR="00EE1672" w:rsidRPr="009F2415" w:rsidRDefault="00EE1672" w:rsidP="00EE1672">
      <w:pPr>
        <w:jc w:val="center"/>
        <w:rPr>
          <w:b/>
        </w:rPr>
      </w:pPr>
    </w:p>
    <w:p w:rsidR="00EE1672" w:rsidRDefault="00EE1672" w:rsidP="00EE1672">
      <w:pPr>
        <w:jc w:val="center"/>
        <w:rPr>
          <w:b/>
        </w:rPr>
      </w:pPr>
    </w:p>
    <w:p w:rsidR="00EE1672" w:rsidRDefault="00EE1672" w:rsidP="00EE1672">
      <w:pPr>
        <w:jc w:val="center"/>
        <w:rPr>
          <w:b/>
        </w:rPr>
      </w:pPr>
      <w:r>
        <w:rPr>
          <w:b/>
        </w:rPr>
        <w:t>Sergey Anokhin</w:t>
      </w:r>
    </w:p>
    <w:p w:rsidR="00EE1672" w:rsidRDefault="00EE1672" w:rsidP="00EE1672">
      <w:pPr>
        <w:jc w:val="center"/>
      </w:pPr>
      <w:r>
        <w:t>Kent State University</w:t>
      </w:r>
    </w:p>
    <w:p w:rsidR="00EE1672" w:rsidRDefault="00EE1672" w:rsidP="00EE1672">
      <w:pPr>
        <w:jc w:val="center"/>
      </w:pPr>
      <w:r>
        <w:t>Associate Professor of Entrepreneurship</w:t>
      </w:r>
    </w:p>
    <w:p w:rsidR="00EE1672" w:rsidRDefault="00EE1672" w:rsidP="00EE1672">
      <w:pPr>
        <w:jc w:val="center"/>
      </w:pPr>
      <w:hyperlink r:id="rId9" w:history="1">
        <w:r w:rsidRPr="00CB7A9D">
          <w:rPr>
            <w:rStyle w:val="Hyperlink"/>
          </w:rPr>
          <w:t>sanokhin@kent.edu</w:t>
        </w:r>
      </w:hyperlink>
      <w:r>
        <w:t xml:space="preserve"> </w:t>
      </w:r>
    </w:p>
    <w:p w:rsidR="00EE1672" w:rsidRDefault="00EE1672" w:rsidP="00EE1672">
      <w:pPr>
        <w:jc w:val="center"/>
      </w:pPr>
    </w:p>
    <w:p w:rsidR="00EE1672" w:rsidRPr="00A060C7" w:rsidRDefault="00EE1672" w:rsidP="00EE1672">
      <w:pPr>
        <w:jc w:val="center"/>
        <w:rPr>
          <w:b/>
        </w:rPr>
      </w:pPr>
      <w:r w:rsidRPr="00A060C7">
        <w:rPr>
          <w:b/>
        </w:rPr>
        <w:t>Joakim Wincent</w:t>
      </w:r>
    </w:p>
    <w:p w:rsidR="00EE1672" w:rsidRDefault="00EE1672" w:rsidP="00EE1672">
      <w:pPr>
        <w:jc w:val="center"/>
      </w:pPr>
      <w:r>
        <w:t>Hanken School of Economics</w:t>
      </w:r>
    </w:p>
    <w:p w:rsidR="00EE1672" w:rsidRDefault="00EE1672" w:rsidP="00EE1672">
      <w:pPr>
        <w:jc w:val="center"/>
      </w:pPr>
      <w:r>
        <w:t>Professor of Entrepreneurship and Management</w:t>
      </w:r>
    </w:p>
    <w:p w:rsidR="00EE1672" w:rsidRDefault="00EE1672" w:rsidP="00EE1672">
      <w:pPr>
        <w:jc w:val="center"/>
      </w:pPr>
      <w:hyperlink r:id="rId10" w:history="1">
        <w:r w:rsidRPr="00324D97">
          <w:rPr>
            <w:rStyle w:val="Hyperlink"/>
          </w:rPr>
          <w:t>joakim.wincent@hanken.fi</w:t>
        </w:r>
      </w:hyperlink>
    </w:p>
    <w:p w:rsidR="00EE1672" w:rsidRDefault="00EE1672" w:rsidP="00EE1672">
      <w:pPr>
        <w:jc w:val="center"/>
      </w:pPr>
    </w:p>
    <w:p w:rsidR="00EE1672" w:rsidRPr="00A060C7" w:rsidRDefault="00EE1672" w:rsidP="00EE1672">
      <w:pPr>
        <w:jc w:val="center"/>
        <w:rPr>
          <w:b/>
        </w:rPr>
      </w:pPr>
      <w:r w:rsidRPr="00A060C7">
        <w:rPr>
          <w:b/>
        </w:rPr>
        <w:t>Marvin Troutt</w:t>
      </w:r>
    </w:p>
    <w:p w:rsidR="00EE1672" w:rsidRDefault="00EE1672" w:rsidP="00EE1672">
      <w:pPr>
        <w:jc w:val="center"/>
      </w:pPr>
      <w:r>
        <w:t>Kent State University</w:t>
      </w:r>
    </w:p>
    <w:p w:rsidR="00EE1672" w:rsidRDefault="00EE1672" w:rsidP="00EE1672">
      <w:pPr>
        <w:jc w:val="center"/>
      </w:pPr>
      <w:r>
        <w:t>Professor Emeritus</w:t>
      </w:r>
    </w:p>
    <w:p w:rsidR="00EE1672" w:rsidRDefault="00EE1672" w:rsidP="00EE1672">
      <w:pPr>
        <w:jc w:val="center"/>
      </w:pPr>
      <w:hyperlink r:id="rId11" w:history="1">
        <w:r w:rsidRPr="00CB7A9D">
          <w:rPr>
            <w:rStyle w:val="Hyperlink"/>
          </w:rPr>
          <w:t>mtroutt@kent.edu</w:t>
        </w:r>
      </w:hyperlink>
      <w:r>
        <w:t xml:space="preserve"> </w:t>
      </w:r>
    </w:p>
    <w:p w:rsidR="00EE1672" w:rsidRPr="009F2415" w:rsidRDefault="00EE1672" w:rsidP="00EE1672">
      <w:pPr>
        <w:jc w:val="center"/>
        <w:rPr>
          <w:b/>
        </w:rPr>
      </w:pPr>
    </w:p>
    <w:p w:rsidR="00EE1672" w:rsidRPr="009F2415" w:rsidRDefault="00EE1672" w:rsidP="00EE1672">
      <w:pPr>
        <w:spacing w:line="480" w:lineRule="exact"/>
        <w:jc w:val="center"/>
      </w:pPr>
    </w:p>
    <w:p w:rsidR="00EE1672" w:rsidRDefault="00EE1672" w:rsidP="00EE1672"/>
    <w:p w:rsidR="00CE11BD" w:rsidRDefault="00EE1672" w:rsidP="00CE11BD">
      <w:pPr>
        <w:jc w:val="center"/>
        <w:rPr>
          <w:b/>
          <w:szCs w:val="28"/>
        </w:rPr>
      </w:pPr>
      <w:r>
        <w:rPr>
          <w:b/>
          <w:szCs w:val="28"/>
        </w:rPr>
        <w:br w:type="page"/>
      </w:r>
      <w:r w:rsidR="00CE11BD" w:rsidRPr="009F2415">
        <w:rPr>
          <w:b/>
          <w:szCs w:val="28"/>
        </w:rPr>
        <w:lastRenderedPageBreak/>
        <w:t xml:space="preserve">Measuring </w:t>
      </w:r>
      <w:r w:rsidR="00CE11BD">
        <w:rPr>
          <w:b/>
          <w:szCs w:val="28"/>
        </w:rPr>
        <w:t xml:space="preserve">technological </w:t>
      </w:r>
      <w:r w:rsidR="00CE11BD" w:rsidRPr="009F2415">
        <w:rPr>
          <w:b/>
          <w:szCs w:val="28"/>
        </w:rPr>
        <w:t xml:space="preserve">arbitrage opportunities: </w:t>
      </w:r>
    </w:p>
    <w:p w:rsidR="00CE11BD" w:rsidRPr="009F2415" w:rsidRDefault="00CE11BD" w:rsidP="00CE11BD">
      <w:pPr>
        <w:jc w:val="center"/>
        <w:rPr>
          <w:b/>
          <w:szCs w:val="28"/>
        </w:rPr>
      </w:pPr>
      <w:r>
        <w:rPr>
          <w:b/>
          <w:szCs w:val="28"/>
        </w:rPr>
        <w:t>M</w:t>
      </w:r>
      <w:r w:rsidRPr="009F2415">
        <w:rPr>
          <w:b/>
          <w:szCs w:val="28"/>
        </w:rPr>
        <w:t>ethodological implications</w:t>
      </w:r>
      <w:r>
        <w:rPr>
          <w:b/>
          <w:szCs w:val="28"/>
        </w:rPr>
        <w:t xml:space="preserve"> for industry analysis with</w:t>
      </w:r>
      <w:r w:rsidRPr="009F2415">
        <w:rPr>
          <w:b/>
          <w:szCs w:val="28"/>
        </w:rPr>
        <w:t xml:space="preserve"> time series data </w:t>
      </w:r>
    </w:p>
    <w:p w:rsidR="00CE11BD" w:rsidRDefault="00CE11BD" w:rsidP="00CE11BD">
      <w:pPr>
        <w:spacing w:line="480" w:lineRule="exact"/>
        <w:ind w:firstLine="720"/>
      </w:pPr>
    </w:p>
    <w:p w:rsidR="00AE159A" w:rsidRPr="00336FC7" w:rsidRDefault="00AE159A" w:rsidP="00AE159A">
      <w:pPr>
        <w:spacing w:line="480" w:lineRule="exact"/>
        <w:rPr>
          <w:b/>
        </w:rPr>
      </w:pPr>
      <w:r>
        <w:rPr>
          <w:b/>
        </w:rPr>
        <w:t>Abstract</w:t>
      </w:r>
    </w:p>
    <w:p w:rsidR="00522DA2" w:rsidRDefault="00522DA2" w:rsidP="00522DA2">
      <w:pPr>
        <w:spacing w:line="480" w:lineRule="exact"/>
        <w:ind w:firstLine="720"/>
      </w:pPr>
      <w:r>
        <w:t>We examine twenty-six industries to estimate the amount of technological arbitrage opportunity available to a typical firm. By presenting a novel way of treating time series data that combines the properties of intertemporal and sequential production frontiers, we analyze 10,650 firm-year observations for the years from 1999 to 2003. We report calculations and our empirical estimates of arbitrage opportunities for possible use by other scholars who would like to utilize arbitrage opportunities in their research and discuss implications.</w:t>
      </w:r>
    </w:p>
    <w:p w:rsidR="00C92CF1" w:rsidRPr="009F2415" w:rsidRDefault="00C92CF1" w:rsidP="00CE11BD">
      <w:pPr>
        <w:spacing w:line="480" w:lineRule="exact"/>
        <w:ind w:firstLine="720"/>
      </w:pPr>
    </w:p>
    <w:p w:rsidR="006945F2" w:rsidRPr="00336FC7" w:rsidRDefault="00CE11BD" w:rsidP="00336FC7">
      <w:pPr>
        <w:spacing w:line="480" w:lineRule="exact"/>
        <w:rPr>
          <w:b/>
        </w:rPr>
      </w:pPr>
      <w:r w:rsidRPr="00154DD0">
        <w:rPr>
          <w:b/>
        </w:rPr>
        <w:t>Introduction</w:t>
      </w:r>
    </w:p>
    <w:p w:rsidR="00CE11BD" w:rsidRDefault="00C22FAA" w:rsidP="00CE11BD">
      <w:pPr>
        <w:spacing w:line="480" w:lineRule="exact"/>
        <w:ind w:firstLine="720"/>
      </w:pPr>
      <w:r>
        <w:t>The</w:t>
      </w:r>
      <w:r w:rsidR="00401AC1" w:rsidRPr="00F8324A">
        <w:t xml:space="preserve"> assessment of </w:t>
      </w:r>
      <w:r>
        <w:t xml:space="preserve">different </w:t>
      </w:r>
      <w:r w:rsidR="00401AC1" w:rsidRPr="00F8324A">
        <w:t xml:space="preserve">opportunities available for pursuit in industries is critical </w:t>
      </w:r>
      <w:r w:rsidR="00F8324A" w:rsidRPr="00F8324A">
        <w:t xml:space="preserve">for </w:t>
      </w:r>
      <w:r w:rsidR="00CE11BD" w:rsidRPr="00F8324A">
        <w:t xml:space="preserve">resident firms and </w:t>
      </w:r>
      <w:r w:rsidR="00F8324A" w:rsidRPr="00F8324A">
        <w:t>entrepreneurs</w:t>
      </w:r>
      <w:r w:rsidR="00CE11BD" w:rsidRPr="00F8324A">
        <w:t>.</w:t>
      </w:r>
      <w:r w:rsidR="00CE11BD" w:rsidRPr="009F2415">
        <w:t xml:space="preserve"> </w:t>
      </w:r>
      <w:r w:rsidR="00CE11BD">
        <w:t>Obviously</w:t>
      </w:r>
      <w:r w:rsidR="00CE11BD" w:rsidRPr="009F2415">
        <w:t>, because time is of the essence, opportunities assessment must take the temporal dimension into account (</w:t>
      </w:r>
      <w:r w:rsidR="00C769E5" w:rsidRPr="00B1349C">
        <w:t>Shane 2000</w:t>
      </w:r>
      <w:r w:rsidR="00C769E5">
        <w:t xml:space="preserve">; </w:t>
      </w:r>
      <w:r w:rsidR="00C769E5" w:rsidRPr="009F2415">
        <w:t>Shane and Venkataraman 2000</w:t>
      </w:r>
      <w:r w:rsidR="00C769E5">
        <w:t xml:space="preserve">; </w:t>
      </w:r>
      <w:r w:rsidR="00C769E5" w:rsidRPr="00C769E5">
        <w:rPr>
          <w:lang w:val="en-GB"/>
        </w:rPr>
        <w:t>Stevenson &amp; Jarillo, 1990</w:t>
      </w:r>
      <w:r w:rsidR="00CE11BD" w:rsidRPr="009F2415">
        <w:t xml:space="preserve">). What may be a high-potential opportunity today may lose its ability to generate entrepreneurial rents in the future. Entrepreneur operations and discoveries cannot be seen in isolation from what other actors do in an industry, especially as other actors make their own discoveries with time (Choi and Shepherd 2004). As such, </w:t>
      </w:r>
      <w:r w:rsidR="00CE11BD" w:rsidRPr="009F2415">
        <w:lastRenderedPageBreak/>
        <w:t xml:space="preserve">the study of </w:t>
      </w:r>
      <w:r>
        <w:t xml:space="preserve">types of </w:t>
      </w:r>
      <w:r w:rsidR="00CE11BD" w:rsidRPr="009F2415">
        <w:t>opportunities necessarily requires reflecting on the temporal dimension of entrepreneurship.</w:t>
      </w:r>
    </w:p>
    <w:p w:rsidR="001B6188" w:rsidRPr="009F2415" w:rsidRDefault="001B6188" w:rsidP="001B6188">
      <w:pPr>
        <w:spacing w:line="480" w:lineRule="exact"/>
        <w:ind w:firstLine="720"/>
      </w:pPr>
      <w:r w:rsidRPr="009F2415">
        <w:t xml:space="preserve">As of now, however, the entrepreneurship literature often does not empirically tackle this issue satisfactorily. First, despite the clear conceptual distinction between two types of opportunities that entrepreneurs exploit – innovative and arbitrage – extant empirical research almost exclusively concerns itself with the former (new-to-the world-innovations) and avoids the latter (new-to-the-firm but trivial in the grand sense opportunities). Based on the seminal conceptualization of entrepreneurship by Kirzner (1973) that emphasizes the key role of arbitrage opportunities, </w:t>
      </w:r>
      <w:r>
        <w:t>and the recent empirical evidence for the importance of such ‘trivial’ opportunities in economic development (Minniti &amp; Levesque, 2010)</w:t>
      </w:r>
      <w:r w:rsidR="00F6540A">
        <w:t xml:space="preserve"> and entrepreneurial dynamics (Anokhin &amp; Wincent, 2014)</w:t>
      </w:r>
      <w:r>
        <w:t xml:space="preserve">, </w:t>
      </w:r>
      <w:r w:rsidRPr="009F2415">
        <w:t xml:space="preserve">we find this to be </w:t>
      </w:r>
      <w:r>
        <w:t xml:space="preserve">somewhat of </w:t>
      </w:r>
      <w:r w:rsidRPr="009F2415">
        <w:t>a</w:t>
      </w:r>
      <w:r>
        <w:t>n</w:t>
      </w:r>
      <w:r w:rsidRPr="009F2415">
        <w:t xml:space="preserve"> impediment for further advancement in the field of entrepreneurship. Second, existing attempts to quantify entrepreneurial opportunities fail to incorporate the temporal dimension focusing instead on cross-sectional assessment of opportunities at a point in time. This is the case, for instance, with Klevorick et al.’s (1995) seminal study on estimating interindustry differences in technological opportunities. Partly, this could be explained by the laborious methods employed by the prior literature to operationalize opportunities. The pains of massive data collection designs utilized by previous studies make it extremely challenging to extend those esti</w:t>
      </w:r>
      <w:r w:rsidRPr="009F2415">
        <w:lastRenderedPageBreak/>
        <w:t xml:space="preserve">mates beyond a single year. Yet, to stimulate further development of the entrepreneurship literature it is important to find a manageable approach to studying the dynamics of entrepreneurial opportunities over time. </w:t>
      </w:r>
    </w:p>
    <w:p w:rsidR="001B6188" w:rsidRPr="009F2415" w:rsidRDefault="001B6188" w:rsidP="001B6188">
      <w:pPr>
        <w:spacing w:line="480" w:lineRule="exact"/>
        <w:ind w:firstLine="720"/>
      </w:pPr>
      <w:r w:rsidRPr="009F2415">
        <w:t xml:space="preserve">This paper attempts to address the abovementioned challenges. To begin with, it conceptualizes </w:t>
      </w:r>
      <w:r>
        <w:t xml:space="preserve">and operationalizes technological </w:t>
      </w:r>
      <w:r w:rsidRPr="009F2415">
        <w:t xml:space="preserve">arbitrage opportunities available in different industries for exploitation as ‘room for optimizing’ that the typical industry firm possesses. For instance, until recently auto manufacturers like Hyundai and Kia may have concerned themselves primarily with imitating their industry leaders – i.e., optimizing under the leading industry practices – rather than with developing de facto breakthroughs of their own. Typically, for less efficient firms adopting others’ innovations is a safer and faster path to success. Naturally, as firms converge in terms of their relative efficiencies, the industry would sustain fewer opportunities for its firms to imitate ‘best practices’. Thus, to estimate the magnitude of arbitrage opportunities in any industry – room available to the industry firms for optimizing – it is important to explore the inefficiencies of individual firms in that industry vis-à-vis industry leaders. Although it remained an insurmountable challenge for entrepreneurship research in the past, we suggest that efficiency estimation methods could be employed for this purpose. </w:t>
      </w:r>
    </w:p>
    <w:p w:rsidR="001B6188" w:rsidRPr="009F2415" w:rsidRDefault="001B6188" w:rsidP="001B6188">
      <w:pPr>
        <w:spacing w:line="480" w:lineRule="exact"/>
        <w:ind w:firstLine="720"/>
      </w:pPr>
      <w:r w:rsidRPr="009F2415">
        <w:t xml:space="preserve">Our research explores how frontier-based estimates of efficiency can be used to measure </w:t>
      </w:r>
      <w:r w:rsidR="00F43A3C" w:rsidRPr="00F43A3C">
        <w:t xml:space="preserve">technological arbitrage </w:t>
      </w:r>
      <w:r w:rsidR="00F43A3C" w:rsidRPr="00F43A3C">
        <w:lastRenderedPageBreak/>
        <w:t xml:space="preserve">opportunities </w:t>
      </w:r>
      <w:r w:rsidR="00F43A3C">
        <w:t xml:space="preserve">which </w:t>
      </w:r>
      <w:r w:rsidR="00F43A3C" w:rsidRPr="00F43A3C">
        <w:t>typically</w:t>
      </w:r>
      <w:r w:rsidR="00F43A3C">
        <w:t xml:space="preserve"> is</w:t>
      </w:r>
      <w:r w:rsidR="00F43A3C" w:rsidRPr="00F43A3C">
        <w:t xml:space="preserve"> manifested in room for imitation </w:t>
      </w:r>
      <w:r w:rsidRPr="009F2415">
        <w:t xml:space="preserve">and suggests that future advances in the field of entrepreneurship could benefit greatly from taking them into account. While different methods exist to construct a frontier, we elaborate on a particular technique – the Minimal Performance Inefficiency (MPI) method – that has a number of advantages for analyzing arbitrage opportunities within an industry. </w:t>
      </w:r>
      <w:r>
        <w:t xml:space="preserve">As we demonstrate with the help of the target-mode agreement criterion, this method fits the data very well. </w:t>
      </w:r>
      <w:r w:rsidRPr="009F2415">
        <w:t xml:space="preserve">We refine the MPI technique to explicitly account for temporal effects in estimating the room for arbitrage within different industries and thus make it particularly suited for the entrepreneurship research. </w:t>
      </w:r>
    </w:p>
    <w:p w:rsidR="000B1468" w:rsidRPr="009F2415" w:rsidRDefault="00C22FAA" w:rsidP="000B1468">
      <w:pPr>
        <w:spacing w:line="480" w:lineRule="exact"/>
        <w:ind w:firstLine="720"/>
      </w:pPr>
      <w:r>
        <w:t xml:space="preserve">The presentation of how to measure industry technological arbitrage </w:t>
      </w:r>
      <w:r w:rsidR="00693F5D">
        <w:t xml:space="preserve">opportunities </w:t>
      </w:r>
      <w:r>
        <w:t xml:space="preserve">is not only important because it is a core construct </w:t>
      </w:r>
      <w:r w:rsidR="00693F5D">
        <w:t xml:space="preserve">in the entrepreneurship literature </w:t>
      </w:r>
      <w:r>
        <w:t xml:space="preserve">that often is </w:t>
      </w:r>
      <w:r w:rsidR="00693F5D">
        <w:t xml:space="preserve">left </w:t>
      </w:r>
      <w:r>
        <w:t>unmeasured</w:t>
      </w:r>
      <w:r w:rsidR="000B1468">
        <w:t>.</w:t>
      </w:r>
      <w:r>
        <w:t xml:space="preserve"> </w:t>
      </w:r>
      <w:r w:rsidR="00830E9A">
        <w:t>It</w:t>
      </w:r>
      <w:r>
        <w:t xml:space="preserve"> also </w:t>
      </w:r>
      <w:r w:rsidR="00B1349C">
        <w:t>suggests</w:t>
      </w:r>
      <w:r>
        <w:t xml:space="preserve"> important practical implications for strategy.</w:t>
      </w:r>
      <w:r w:rsidR="000B1468">
        <w:t xml:space="preserve"> </w:t>
      </w:r>
      <w:r w:rsidR="000B1468" w:rsidRPr="00B1349C">
        <w:t xml:space="preserve">To </w:t>
      </w:r>
      <w:r w:rsidR="00B1349C" w:rsidRPr="00B1349C">
        <w:t>existing firms and entrepreneurs</w:t>
      </w:r>
      <w:r w:rsidR="000B1468" w:rsidRPr="00B1349C">
        <w:t xml:space="preserve">, </w:t>
      </w:r>
      <w:r w:rsidR="00B1349C" w:rsidRPr="00B1349C">
        <w:t>the presentation of how to calculate and empirically evaluate</w:t>
      </w:r>
      <w:r w:rsidR="000B1468" w:rsidRPr="00B1349C">
        <w:t xml:space="preserve"> </w:t>
      </w:r>
      <w:r w:rsidR="00B1349C" w:rsidRPr="00B1349C">
        <w:t xml:space="preserve">technological </w:t>
      </w:r>
      <w:r w:rsidR="000B1468" w:rsidRPr="00B1349C">
        <w:t xml:space="preserve">arbitrage opportunities will help them </w:t>
      </w:r>
      <w:r w:rsidR="00B1349C" w:rsidRPr="00B1349C">
        <w:t xml:space="preserve">assess </w:t>
      </w:r>
      <w:r w:rsidR="000B1468" w:rsidRPr="00B1349C">
        <w:t xml:space="preserve">alternative </w:t>
      </w:r>
      <w:r w:rsidR="00830E9A">
        <w:t xml:space="preserve">lines of </w:t>
      </w:r>
      <w:r w:rsidR="000B1468" w:rsidRPr="00B1349C">
        <w:t>business</w:t>
      </w:r>
      <w:r w:rsidR="00830E9A">
        <w:t xml:space="preserve"> from the unconventional lens</w:t>
      </w:r>
      <w:r w:rsidR="000B1468" w:rsidRPr="00B1349C">
        <w:t xml:space="preserve"> </w:t>
      </w:r>
      <w:r w:rsidR="00B1349C" w:rsidRPr="00B1349C">
        <w:t xml:space="preserve">that we rarely if ever see </w:t>
      </w:r>
      <w:r w:rsidR="00830E9A">
        <w:t xml:space="preserve">employed </w:t>
      </w:r>
      <w:r w:rsidR="00B1349C" w:rsidRPr="00B1349C">
        <w:t>in the literature</w:t>
      </w:r>
      <w:r w:rsidR="000B1468" w:rsidRPr="00B1349C">
        <w:t>.</w:t>
      </w:r>
      <w:r w:rsidR="000B1468" w:rsidRPr="009F2415">
        <w:t xml:space="preserve"> </w:t>
      </w:r>
      <w:r w:rsidR="00830E9A">
        <w:t>T</w:t>
      </w:r>
      <w:r w:rsidR="000B1468" w:rsidRPr="009F2415">
        <w:t xml:space="preserve">he methods developed here have further merits since they explicitly acknowledge temporal effects. Previously, the time element has often been left out of the analysis by entrepreneurship scholars, but in this paper we look at this issue specifically and use panel rather than cross-sectional </w:t>
      </w:r>
      <w:r w:rsidR="000B1468" w:rsidRPr="009F2415">
        <w:lastRenderedPageBreak/>
        <w:t>data. We consider contemporaneous, sequential, and intertemporal conceptualizations of the production frontier and suggest that a comprehensive approach that combines the properties of intertemporal and sequential frontiers holds the greatest potential for adequately reflecting interindustry differences in arbitrage opportunities.</w:t>
      </w:r>
      <w:r w:rsidR="000B1468">
        <w:t xml:space="preserve"> Since most current analyses acknowledge time and are of longitudinal character, we believe our measurement approach to provide significant value.</w:t>
      </w:r>
      <w:r w:rsidR="000B1468" w:rsidRPr="009F2415">
        <w:t xml:space="preserve"> </w:t>
      </w:r>
    </w:p>
    <w:p w:rsidR="00614DE2" w:rsidRDefault="00614DE2" w:rsidP="00614DE2">
      <w:pPr>
        <w:spacing w:line="480" w:lineRule="exact"/>
        <w:ind w:firstLine="720"/>
      </w:pPr>
      <w:r>
        <w:t xml:space="preserve">We see the main contribution of the paper in introducing the technique for quantifying arbitrage opportunity across time and industries, and therefore focus specifically on the method. That is, we chose not to formulate hypotheses but rather explain the rationale and thinking behind the project. </w:t>
      </w:r>
      <w:r w:rsidR="00D55E7F">
        <w:t>W</w:t>
      </w:r>
      <w:r>
        <w:t xml:space="preserve">e see the systematic tests of our estimates and their interplay with the conventional notion of innovative or technological opportunities in the entrepreneurial context as a task for future research. </w:t>
      </w:r>
      <w:r w:rsidR="00F6540A">
        <w:t xml:space="preserve">We also develop a number of suggestions how these estimates could be employed to provide insights of great theoretical importance for the field of entrepreneurship. </w:t>
      </w:r>
    </w:p>
    <w:p w:rsidR="00614DE2" w:rsidRPr="009F2415" w:rsidRDefault="00614DE2" w:rsidP="00614DE2">
      <w:pPr>
        <w:spacing w:line="480" w:lineRule="exact"/>
        <w:ind w:firstLine="720"/>
      </w:pPr>
      <w:r w:rsidRPr="009F2415">
        <w:t xml:space="preserve">The paper proceeds as follows. First, we explain the logic required to capture arbitrage opportunities in the industry. Next, we provide a brief overview of the methods developed by the </w:t>
      </w:r>
      <w:r>
        <w:t>operations</w:t>
      </w:r>
      <w:r w:rsidRPr="009F2415">
        <w:t xml:space="preserve"> and economics literatures that could potentially be used for this purpose, explicate the assumptions important to correctly specifying the value of arbitrage opportunities at the industry level and suggest a </w:t>
      </w:r>
      <w:r w:rsidRPr="009F2415">
        <w:lastRenderedPageBreak/>
        <w:t xml:space="preserve">frontier-based technique that satisfies our requirements. Further, we discuss how this technique could be employed with panel data and discuss the benefits and drawbacks of the major alternatives to treating time series data. Finally, as an illustration we estimate arbitrage opportunities in twenty-six industries over the course of five years, and provide our estimates to researchers for further use. The paper concludes with a discussion of our results and limitations of our research and provides several possible avenues for future studies. </w:t>
      </w:r>
    </w:p>
    <w:p w:rsidR="00296287" w:rsidRPr="009F2415" w:rsidRDefault="00296287" w:rsidP="00296287">
      <w:pPr>
        <w:spacing w:line="480" w:lineRule="exact"/>
        <w:ind w:firstLine="720"/>
      </w:pPr>
    </w:p>
    <w:p w:rsidR="00296287" w:rsidRDefault="00296287" w:rsidP="00E84562">
      <w:pPr>
        <w:spacing w:line="480" w:lineRule="exact"/>
        <w:rPr>
          <w:b/>
        </w:rPr>
      </w:pPr>
      <w:r>
        <w:rPr>
          <w:b/>
        </w:rPr>
        <w:t>Arbitrage opportunities across industries: conceptual and methodological basis</w:t>
      </w:r>
    </w:p>
    <w:p w:rsidR="00296287" w:rsidRPr="00E84562" w:rsidRDefault="00296287" w:rsidP="00E84562">
      <w:pPr>
        <w:spacing w:line="480" w:lineRule="exact"/>
        <w:rPr>
          <w:b/>
          <w:i/>
        </w:rPr>
      </w:pPr>
      <w:r w:rsidRPr="00E84562">
        <w:rPr>
          <w:b/>
          <w:i/>
        </w:rPr>
        <w:t>Capturing arbitrage opportunities: The intuition</w:t>
      </w:r>
    </w:p>
    <w:p w:rsidR="00065F84" w:rsidRDefault="00506C86" w:rsidP="00B1349C">
      <w:pPr>
        <w:spacing w:line="480" w:lineRule="exact"/>
        <w:ind w:firstLine="720"/>
      </w:pPr>
      <w:r>
        <w:t>Arbitrage o</w:t>
      </w:r>
      <w:r w:rsidR="002F5BA1" w:rsidRPr="009F2415">
        <w:t xml:space="preserve">pportunities </w:t>
      </w:r>
      <w:r>
        <w:t xml:space="preserve">(Kirzner, 1973) – the ones </w:t>
      </w:r>
      <w:r w:rsidR="002F5BA1" w:rsidRPr="009F2415">
        <w:t xml:space="preserve">that reflect changes in technology and other factors </w:t>
      </w:r>
      <w:r w:rsidR="002F5BA1" w:rsidRPr="00E84562">
        <w:rPr>
          <w:i/>
        </w:rPr>
        <w:t>exogenous</w:t>
      </w:r>
      <w:r w:rsidR="002F5BA1" w:rsidRPr="009F2415">
        <w:t xml:space="preserve"> to the entrepreneur </w:t>
      </w:r>
      <w:r w:rsidR="00C62ED3">
        <w:t xml:space="preserve">that </w:t>
      </w:r>
      <w:r w:rsidR="00F674E9">
        <w:t xml:space="preserve">may </w:t>
      </w:r>
      <w:r w:rsidR="00F6540A">
        <w:t xml:space="preserve">be </w:t>
      </w:r>
      <w:r w:rsidR="00F674E9">
        <w:t>alertly spot</w:t>
      </w:r>
      <w:r w:rsidR="00F6540A">
        <w:t>ted</w:t>
      </w:r>
      <w:r w:rsidR="00F674E9">
        <w:t xml:space="preserve"> and exploit</w:t>
      </w:r>
      <w:r w:rsidR="00F6540A">
        <w:t>ed</w:t>
      </w:r>
      <w:r w:rsidR="00C62ED3">
        <w:t xml:space="preserve">, </w:t>
      </w:r>
      <w:r>
        <w:t xml:space="preserve">rather than the ones created and enacted by the innovator-entrepreneur – </w:t>
      </w:r>
      <w:r w:rsidR="002F5BA1" w:rsidRPr="009F2415">
        <w:t>have not been sufficiently addressed by the empirical entrepreneurship literature. Yet, their exploitation generally requires less effort on the part of the entrepreneur than innovative opportunities</w:t>
      </w:r>
      <w:r>
        <w:t xml:space="preserve"> and they appear to motivate a substantial share of startup activity (Anokhin &amp; Wincent, 2014)</w:t>
      </w:r>
      <w:r w:rsidR="002F5BA1" w:rsidRPr="009F2415">
        <w:t xml:space="preserve">. Indeed, all one needs </w:t>
      </w:r>
      <w:r>
        <w:t xml:space="preserve">to do in order </w:t>
      </w:r>
      <w:r w:rsidR="002F5BA1" w:rsidRPr="009F2415">
        <w:t xml:space="preserve">to take advantage of </w:t>
      </w:r>
      <w:r w:rsidR="002F5BA1">
        <w:t xml:space="preserve">technological </w:t>
      </w:r>
      <w:r w:rsidR="002F5BA1" w:rsidRPr="009F2415">
        <w:t xml:space="preserve">arbitrage opportunities is to </w:t>
      </w:r>
      <w:r w:rsidR="00C62ED3">
        <w:t>identify</w:t>
      </w:r>
      <w:r w:rsidR="00C62ED3" w:rsidRPr="009F2415">
        <w:t xml:space="preserve"> </w:t>
      </w:r>
      <w:r w:rsidR="002F5BA1" w:rsidRPr="009F2415">
        <w:t xml:space="preserve">relevant technological changes and recombine one’s resources so as to align them with the changed means-ends framework. For instance, once Nissan introduced the </w:t>
      </w:r>
      <w:r w:rsidR="002F5BA1" w:rsidRPr="009F2415">
        <w:lastRenderedPageBreak/>
        <w:t xml:space="preserve">high-performance continuously variable transmission (CVT) into the U.S. auto market in the 1990s, that event marked </w:t>
      </w:r>
      <w:r>
        <w:t>a</w:t>
      </w:r>
      <w:r w:rsidRPr="009F2415">
        <w:t xml:space="preserve"> </w:t>
      </w:r>
      <w:r w:rsidR="002F5BA1" w:rsidRPr="009F2415">
        <w:t xml:space="preserve">technological change within the industry. Major competitors including Toyota and Honda responded to the change by introducing their own versions of CVT-based vehicles (U.S. manufacturers followed suit almost a decade later). By doing so, the ‘imitators’ exploited the opportunity enacted by factors </w:t>
      </w:r>
      <w:r w:rsidR="002F5BA1">
        <w:t>exogenous</w:t>
      </w:r>
      <w:r w:rsidR="002F5BA1" w:rsidRPr="009F2415">
        <w:t xml:space="preserve"> to them. </w:t>
      </w:r>
      <w:r w:rsidR="00C62ED3">
        <w:t>In other words, when pursuing technological</w:t>
      </w:r>
      <w:r w:rsidR="00C62ED3" w:rsidRPr="00C158AA">
        <w:t xml:space="preserve"> arbitrage opportunities</w:t>
      </w:r>
      <w:r w:rsidR="00C62ED3">
        <w:t xml:space="preserve">, entrepreneurs </w:t>
      </w:r>
      <w:r w:rsidR="0004587C">
        <w:t xml:space="preserve">follow innovators to </w:t>
      </w:r>
      <w:r w:rsidR="00C62ED3" w:rsidRPr="00C158AA">
        <w:t xml:space="preserve">recombine resources </w:t>
      </w:r>
      <w:r w:rsidR="00C62ED3">
        <w:t>in a manner that</w:t>
      </w:r>
      <w:r w:rsidR="00F674E9">
        <w:t>, while not being truly novel in the grand sense,</w:t>
      </w:r>
      <w:r w:rsidR="00C62ED3">
        <w:t xml:space="preserve"> is more efficient </w:t>
      </w:r>
      <w:r w:rsidR="00F674E9">
        <w:t xml:space="preserve">and effective </w:t>
      </w:r>
      <w:r w:rsidR="00C62ED3">
        <w:t xml:space="preserve">than </w:t>
      </w:r>
      <w:r w:rsidR="00F674E9">
        <w:t xml:space="preserve">resource combinations pursued by </w:t>
      </w:r>
      <w:r w:rsidR="0004587C">
        <w:t>most</w:t>
      </w:r>
      <w:r w:rsidR="00C62ED3">
        <w:t xml:space="preserve"> typical firm</w:t>
      </w:r>
      <w:r w:rsidR="00F674E9">
        <w:t>s</w:t>
      </w:r>
      <w:r w:rsidR="00C62ED3">
        <w:t xml:space="preserve"> in the industry </w:t>
      </w:r>
      <w:r w:rsidR="00C62ED3" w:rsidRPr="00C158AA">
        <w:t>(Eckhardt and Shane 2003).</w:t>
      </w:r>
      <w:r w:rsidR="00F674E9">
        <w:t xml:space="preserve"> </w:t>
      </w:r>
      <w:r w:rsidR="002F5BA1">
        <w:t xml:space="preserve">For ‘pure’ arbitrage opportunities that imply simply </w:t>
      </w:r>
      <w:r w:rsidR="00B1349C">
        <w:t>benefiting</w:t>
      </w:r>
      <w:r w:rsidR="002F5BA1">
        <w:t xml:space="preserve"> from differential pricing of the same resource in different market, even such minor efforts at recombining resources are not necessary (Bradley et al., 2010; Gagnon &amp; Karolyi, 2010; Mitchell, Pulvino, &amp; Stafford, 2002; Shleifer &amp; Vishny, 1997). </w:t>
      </w:r>
    </w:p>
    <w:p w:rsidR="002F5BA1" w:rsidRDefault="00F674E9" w:rsidP="00296287">
      <w:pPr>
        <w:spacing w:line="480" w:lineRule="exact"/>
        <w:ind w:firstLine="720"/>
      </w:pPr>
      <w:r>
        <w:t>At the core of existence of</w:t>
      </w:r>
      <w:r w:rsidR="00EA28AC" w:rsidRPr="00C158AA">
        <w:t xml:space="preserve"> arbitrage opportunities</w:t>
      </w:r>
      <w:r w:rsidR="00C158AA" w:rsidRPr="00C158AA">
        <w:t xml:space="preserve"> is </w:t>
      </w:r>
      <w:r>
        <w:t xml:space="preserve">the notion of market </w:t>
      </w:r>
      <w:r w:rsidR="00C158AA" w:rsidRPr="00C158AA">
        <w:t>failure</w:t>
      </w:r>
      <w:r w:rsidR="00EA28AC" w:rsidRPr="00C158AA">
        <w:t xml:space="preserve"> (Kirzner, 1973).</w:t>
      </w:r>
      <w:r w:rsidR="00EA28AC">
        <w:t xml:space="preserve"> </w:t>
      </w:r>
      <w:r w:rsidR="00065F84">
        <w:t>Failure of the more complex and efficient technological innovations to spread quickly among the potential users (e.g., among industry firms that are or may be qualified to profit from exploiting those) may even facilitate the creation of specialized institutions aiming to diffuse technological advances (Martin &amp; Scott, 2000). Generally, such kinds of market failure may be attributed to imperfect information (</w:t>
      </w:r>
      <w:r w:rsidR="00394BF8">
        <w:t xml:space="preserve">Dundas </w:t>
      </w:r>
      <w:r w:rsidR="00394BF8">
        <w:lastRenderedPageBreak/>
        <w:t xml:space="preserve">&amp; Richardson, 1980; </w:t>
      </w:r>
      <w:r w:rsidR="00065F84">
        <w:t>Stiglitz, 1989). In case of multiple firms competing in the same industry, effective information exchange may be purposefully sabotaged by innovator firms that try to exploit the better resource combinations by pursuing a “monopolistic excess of price over cost” (Williamson, 1971, p. 114) without letting rivals partake of the better ways of organizing. In other words, due to market failure of this kind inefficient methods of production in an industry coexist with more efficient ones, and firms that discover ways to improve their efficiency by imitating their more advanced peers are naturally inclined to go after the respective opportunities since no rational decision maker would choose to seek areas of lower return when areas of higher return are available (Williamson, 1971).</w:t>
      </w:r>
    </w:p>
    <w:p w:rsidR="00F674E9" w:rsidRDefault="00F674E9" w:rsidP="00F674E9">
      <w:pPr>
        <w:spacing w:line="480" w:lineRule="exact"/>
        <w:ind w:firstLine="720"/>
      </w:pPr>
      <w:r>
        <w:t>As extant research indicates</w:t>
      </w:r>
      <w:r w:rsidRPr="00C158AA">
        <w:t xml:space="preserve"> (Shane 2000), the proclivity </w:t>
      </w:r>
      <w:r>
        <w:t>of</w:t>
      </w:r>
      <w:r w:rsidRPr="00C158AA">
        <w:t xml:space="preserve"> entrepreneurs and existing companies to identi</w:t>
      </w:r>
      <w:r>
        <w:t>f</w:t>
      </w:r>
      <w:r w:rsidRPr="00C158AA">
        <w:t xml:space="preserve">y </w:t>
      </w:r>
      <w:r>
        <w:t xml:space="preserve">entrepreneurial </w:t>
      </w:r>
      <w:r w:rsidRPr="00C158AA">
        <w:t xml:space="preserve">opportunities </w:t>
      </w:r>
      <w:r>
        <w:t>is</w:t>
      </w:r>
      <w:r w:rsidRPr="00C158AA">
        <w:t xml:space="preserve"> </w:t>
      </w:r>
      <w:r>
        <w:t xml:space="preserve">typically </w:t>
      </w:r>
      <w:r w:rsidRPr="00C158AA">
        <w:t xml:space="preserve">restricted to a certain industry (Hayek, 1945). The efforts </w:t>
      </w:r>
      <w:r>
        <w:t>at</w:t>
      </w:r>
      <w:r w:rsidRPr="00C158AA">
        <w:t xml:space="preserve"> exploiting a certain opportunity</w:t>
      </w:r>
      <w:r>
        <w:t>, we suggest,</w:t>
      </w:r>
      <w:r w:rsidRPr="00C158AA">
        <w:t xml:space="preserve"> are also </w:t>
      </w:r>
      <w:r>
        <w:t xml:space="preserve">likely to be </w:t>
      </w:r>
      <w:r w:rsidRPr="00C158AA">
        <w:t xml:space="preserve">limited to the </w:t>
      </w:r>
      <w:r>
        <w:t xml:space="preserve">narrowly defined </w:t>
      </w:r>
      <w:r w:rsidRPr="00C158AA">
        <w:t xml:space="preserve">industry. In order to exploit technological arbitrage opportunities </w:t>
      </w:r>
      <w:r>
        <w:t xml:space="preserve">individual </w:t>
      </w:r>
      <w:r w:rsidRPr="00C158AA">
        <w:t xml:space="preserve">entrepreneurs and companies are forced to access and utilize resources </w:t>
      </w:r>
      <w:r>
        <w:t xml:space="preserve">in the way </w:t>
      </w:r>
      <w:r w:rsidRPr="00C158AA">
        <w:t xml:space="preserve">indicated by the original innovator. </w:t>
      </w:r>
      <w:r>
        <w:t xml:space="preserve">Naturally, because resources and competencies of any given firm would be most comparable to its close competitor since they are subject to the same environmental conditions, it is most appropriate to search for arbitrage opportunities within narrowly defined industries, as those would be the opportunities that </w:t>
      </w:r>
      <w:r>
        <w:lastRenderedPageBreak/>
        <w:t xml:space="preserve">the firm would be most qualified to pursue </w:t>
      </w:r>
      <w:r w:rsidRPr="00C158AA">
        <w:t xml:space="preserve">(Alvarez and Barney 2004). </w:t>
      </w:r>
      <w:r>
        <w:t>What it implies in practice is that in order to estimate the amount of arbitrage opportunities available to exploitation to a firm</w:t>
      </w:r>
      <w:r w:rsidR="005C5D36">
        <w:t>,</w:t>
      </w:r>
      <w:r>
        <w:t xml:space="preserve"> it would suffice to analyze </w:t>
      </w:r>
      <w:r w:rsidR="0004587C">
        <w:t>its</w:t>
      </w:r>
      <w:r>
        <w:t xml:space="preserve"> industry without the need to look across industries.</w:t>
      </w:r>
      <w:r w:rsidR="0004587C">
        <w:t xml:space="preserve"> Specifically, given the fact that production functions </w:t>
      </w:r>
      <w:r w:rsidR="005C5D36">
        <w:t>utilized by industry firms</w:t>
      </w:r>
      <w:r w:rsidR="0004587C">
        <w:t xml:space="preserve"> are comparable, it is sufficient to identify the most effective instances of resource combination in the industry, and measure how far the</w:t>
      </w:r>
      <w:r w:rsidR="005C5D36">
        <w:t xml:space="preserve"> focal firm is from this</w:t>
      </w:r>
      <w:r w:rsidR="0004587C">
        <w:t xml:space="preserve"> benchmark effectiveness. </w:t>
      </w:r>
    </w:p>
    <w:p w:rsidR="00F674E9" w:rsidRPr="009F2415" w:rsidRDefault="00F674E9" w:rsidP="00296287">
      <w:pPr>
        <w:spacing w:line="480" w:lineRule="exact"/>
        <w:ind w:firstLine="720"/>
      </w:pPr>
    </w:p>
    <w:p w:rsidR="00AE159A" w:rsidRDefault="00AE159A" w:rsidP="00E84562">
      <w:pPr>
        <w:spacing w:line="480" w:lineRule="exact"/>
        <w:rPr>
          <w:b/>
        </w:rPr>
      </w:pPr>
    </w:p>
    <w:p w:rsidR="00BB595B" w:rsidRPr="00E84562" w:rsidRDefault="00BB595B" w:rsidP="00E84562">
      <w:pPr>
        <w:spacing w:line="480" w:lineRule="exact"/>
        <w:rPr>
          <w:b/>
          <w:i/>
        </w:rPr>
      </w:pPr>
      <w:r w:rsidRPr="00E84562">
        <w:rPr>
          <w:b/>
          <w:i/>
        </w:rPr>
        <w:t>Capturing arbitrage opportunities: The methods overview</w:t>
      </w:r>
    </w:p>
    <w:p w:rsidR="00BB595B" w:rsidRPr="009F2415" w:rsidRDefault="00BB595B" w:rsidP="00BB595B">
      <w:pPr>
        <w:spacing w:line="480" w:lineRule="exact"/>
        <w:ind w:firstLine="720"/>
      </w:pPr>
      <w:r w:rsidRPr="009F2415">
        <w:t xml:space="preserve">The </w:t>
      </w:r>
      <w:r>
        <w:t>operations</w:t>
      </w:r>
      <w:r w:rsidRPr="009F2415">
        <w:t xml:space="preserve"> and economics literatures offer several methods that could be employed to assess best practices within a particular industry and then evaluate the difference between the efficiency accorded to the leading firms and the efficiency of an average industry member. Very broadly most techniques could be classified into those based on dominance (Tulkens and Eeckaut 1995a) where the production functions employed by different firms are compared and a decision is made with respect to whether or not one firm ‘dominates’ the other, and those based on the notion of the production frontier (Färe et al. 1998) where a feasible reference technology (the benchmark means-ends framework) is estimated based on the available empirical observations and each firm is assessed against this frontier. Although both groups of methods exhibit many similarities, the </w:t>
      </w:r>
      <w:r w:rsidRPr="009F2415">
        <w:lastRenderedPageBreak/>
        <w:t xml:space="preserve">former does not concern itself with the notion of feasibility and is more appropriately used to evaluate progress while the latter is specifically designed to estimate efficiency as well as incorporates the notion of feasibility of a particular production function (Tulkens and Eeckaut 1995a, 1995b) and as such is better suited to gauge arbitrage opportunities within the industry. </w:t>
      </w:r>
    </w:p>
    <w:p w:rsidR="00BB595B" w:rsidRPr="009F2415" w:rsidRDefault="00766F23" w:rsidP="00BB595B">
      <w:pPr>
        <w:spacing w:line="480" w:lineRule="exact"/>
        <w:ind w:firstLine="720"/>
      </w:pPr>
      <w:r>
        <w:t xml:space="preserve">Although multiple approaches to building the frontier exist, in the industry context it is desirable to use the one based on the Minimum Performance Inefficiency technique (MPI). Alternative formulations, such as Data Envelopment Analysis (DEA), may be better suited in contexts characterized by wildly differing production functions across the units whose efficiency is subject to calculation – such as in cross-country comparisons. </w:t>
      </w:r>
      <w:r w:rsidR="00BB595B" w:rsidRPr="009F2415">
        <w:t xml:space="preserve">When analyzing arbitrage opportunities within a particular industry, it is relatively safe to assume that the firms would be comparable in terms of inputs and will employ comparable production functions. Indeed, the machinery used by major car manufacturers is very similar if not identical much like the formal qualifications of the workforce are virtually identical (this does not preclude, of course, de facto variation in both capital and labor properties across major industry players). Similarly, production functions are likely to be comparable. In fact, often less efficient manufacturer’s facilities are intentionally modeled after the industry leader such as GM’s Saturn plant was modeled after the Japanese manufacturers (see, e.g., Florida and Kenney 1991). Thus, when dealing </w:t>
      </w:r>
      <w:r w:rsidR="00BB595B" w:rsidRPr="009F2415">
        <w:lastRenderedPageBreak/>
        <w:t xml:space="preserve">with narrowly defined industries, a method that holds the firms to the same standards and constraints and is largely compatible with the shared performance improvement imperative is required. </w:t>
      </w:r>
      <w:r>
        <w:t>Minimum Performance Inefficiency technique fits these requirements adequately.</w:t>
      </w:r>
    </w:p>
    <w:p w:rsidR="00BB595B" w:rsidRPr="009F2415" w:rsidRDefault="00BB595B" w:rsidP="00BB595B">
      <w:pPr>
        <w:spacing w:line="480" w:lineRule="exact"/>
        <w:ind w:firstLine="720"/>
      </w:pPr>
    </w:p>
    <w:p w:rsidR="00BB595B" w:rsidRPr="00E84562" w:rsidRDefault="00BB595B" w:rsidP="00E84562">
      <w:pPr>
        <w:spacing w:line="480" w:lineRule="exact"/>
        <w:rPr>
          <w:b/>
          <w:i/>
        </w:rPr>
      </w:pPr>
      <w:r w:rsidRPr="00E84562">
        <w:rPr>
          <w:b/>
          <w:i/>
        </w:rPr>
        <w:t>Suggested method for capturing arbitrage opportunity in the industry context</w:t>
      </w:r>
    </w:p>
    <w:p w:rsidR="00BB595B" w:rsidRPr="009F2415" w:rsidRDefault="00BB595B" w:rsidP="00BB595B">
      <w:pPr>
        <w:spacing w:line="480" w:lineRule="exact"/>
        <w:ind w:firstLine="720"/>
      </w:pPr>
      <w:r w:rsidRPr="009F2415">
        <w:t xml:space="preserve">Our suggested approach to model the frontier – or the best ‘given’ means-ends framework within an industry – against which all firms’ efficiency will be assessed begins with ratios of weighted sums of outputs (such as sales) and inputs (such as labor and capital).  Like DEA, our method considers the ratio of the weighted sum of outputs to the weighted sum of inputs for each industry firm. Unlike DEA, this ratio is not optimized for each firm individually. Our model instead seeks weights that are the same for all firms. Two considerations are employed to determine the weights. </w:t>
      </w:r>
    </w:p>
    <w:p w:rsidR="00BB595B" w:rsidRPr="009F2415" w:rsidRDefault="00BB595B" w:rsidP="00BB595B">
      <w:pPr>
        <w:spacing w:line="480" w:lineRule="exact"/>
        <w:ind w:firstLine="720"/>
      </w:pPr>
      <w:r w:rsidRPr="009F2415">
        <w:t>First, we assume that there exists a set of most appropriate weights for inputs and outputs that should apply to all the firms. Throughout the literature such weights have been interpreted as the so-called ‘shadow prices’ or the common perception, perhaps tacit, among the firms, of the most appropriate relative prices and costs for the outputs and inputs (</w:t>
      </w:r>
      <w:bookmarkStart w:id="1" w:name="OLE_LINK6"/>
      <w:bookmarkStart w:id="2" w:name="OLE_LINK7"/>
      <w:r w:rsidRPr="009F2415">
        <w:t>Kuosmanen, Cherchye, and Sipiläinen 2006</w:t>
      </w:r>
      <w:bookmarkEnd w:id="1"/>
      <w:bookmarkEnd w:id="2"/>
      <w:r w:rsidRPr="009F2415">
        <w:t xml:space="preserve">) or otherwise constraints common for all firms within an industry. In that neither DEA nor our method uses actual price data this interpretation may seem appealing. However, there </w:t>
      </w:r>
      <w:r w:rsidRPr="009F2415">
        <w:lastRenderedPageBreak/>
        <w:t>is no universal agreement in the literature as to the exact meaning of the weights. Here, we take a conservative stance and simply interpret those common weights as quantities that describe the tangent lines to the efficient frontier, or determine the slope of the frontier.  While the slopes would be very different across industries, firms operating within a particular industry should face the same frontier against which their performance could be judged.</w:t>
      </w:r>
    </w:p>
    <w:p w:rsidR="00BB595B" w:rsidRPr="009F2415" w:rsidRDefault="00BB595B" w:rsidP="00BB595B">
      <w:pPr>
        <w:spacing w:line="480" w:lineRule="exact"/>
        <w:ind w:firstLine="720"/>
      </w:pPr>
      <w:r w:rsidRPr="009F2415">
        <w:t xml:space="preserve"> Second, to estimate such appropriate common weights we use the Minimum Performance Inefficiency (MPI) principle.  The inefficiency technique we use has its origins in Troutt (1995). The technique selects as estimates of the weights those values for which the average performance inefficiency ratio is the least.  The principle is based on the assumption that firms as purposeful entities tend to seek low values on any reasonable measure of inefficiency. Factor weights, or the coefficient vector of the linear frontier function, are determined for all inputs in such a way that the weighted inputs divided by output values form a ratio called the inefficiency ratio and each unit is assigned an inefficiency score as soon as the weights are determined by the estimation principle.  The same factor weights are applied to every unit. The principle is described as follows:</w:t>
      </w:r>
    </w:p>
    <w:p w:rsidR="00BB595B" w:rsidRPr="009F2415" w:rsidRDefault="00BB595B" w:rsidP="00BB595B">
      <w:pPr>
        <w:spacing w:line="480" w:lineRule="exact"/>
        <w:ind w:firstLine="720"/>
      </w:pPr>
      <w:r w:rsidRPr="009F2415">
        <w:t>Let y</w:t>
      </w:r>
      <w:r w:rsidRPr="009F2415">
        <w:rPr>
          <w:vertAlign w:val="subscript"/>
        </w:rPr>
        <w:t xml:space="preserve">rj, </w:t>
      </w:r>
      <w:r w:rsidRPr="009F2415">
        <w:t>r =1,…, s, be observed output or performance measure values and x</w:t>
      </w:r>
      <w:r w:rsidRPr="009F2415">
        <w:rPr>
          <w:vertAlign w:val="subscript"/>
        </w:rPr>
        <w:t>ij</w:t>
      </w:r>
      <w:r w:rsidRPr="009F2415">
        <w:t xml:space="preserve">, i = 1 ,…, t, be observed input values, respectively, for the j =1,…,n firms under comparison </w:t>
      </w:r>
      <w:r w:rsidRPr="009F2415">
        <w:lastRenderedPageBreak/>
        <w:t>within an industry.  Let u</w:t>
      </w:r>
      <w:r w:rsidRPr="009F2415">
        <w:rPr>
          <w:vertAlign w:val="subscript"/>
        </w:rPr>
        <w:t>r</w:t>
      </w:r>
      <w:r w:rsidRPr="009F2415">
        <w:sym w:font="Symbol" w:char="F0B3"/>
      </w:r>
      <w:r w:rsidRPr="009F2415">
        <w:t xml:space="preserve"> 0 and v</w:t>
      </w:r>
      <w:r w:rsidRPr="009F2415">
        <w:rPr>
          <w:vertAlign w:val="subscript"/>
        </w:rPr>
        <w:t xml:space="preserve">i </w:t>
      </w:r>
      <w:r w:rsidRPr="009F2415">
        <w:sym w:font="Symbol" w:char="F0B3"/>
      </w:r>
      <w:r w:rsidRPr="009F2415">
        <w:t xml:space="preserve"> 0   be the corresponding output and input weights, respectively. We define performance inefficiency, PI</w:t>
      </w:r>
      <w:r w:rsidRPr="009F2415">
        <w:rPr>
          <w:vertAlign w:val="subscript"/>
        </w:rPr>
        <w:t>j</w:t>
      </w:r>
      <w:r w:rsidRPr="009F2415">
        <w:t xml:space="preserve">, for the j-th unit as </w:t>
      </w:r>
    </w:p>
    <w:p w:rsidR="00BB595B" w:rsidRPr="001641A4" w:rsidRDefault="00BB595B" w:rsidP="00BB595B">
      <w:pPr>
        <w:spacing w:line="480" w:lineRule="exact"/>
        <w:ind w:firstLine="720"/>
        <w:rPr>
          <w:lang w:val="pt-PT"/>
        </w:rPr>
      </w:pPr>
      <w:r w:rsidRPr="001641A4">
        <w:rPr>
          <w:lang w:val="pt-PT"/>
        </w:rPr>
        <w:t>PI</w:t>
      </w:r>
      <w:r w:rsidRPr="001641A4">
        <w:rPr>
          <w:vertAlign w:val="subscript"/>
          <w:lang w:val="pt-PT"/>
        </w:rPr>
        <w:t>j</w:t>
      </w:r>
      <w:r w:rsidRPr="001641A4">
        <w:rPr>
          <w:lang w:val="pt-PT"/>
        </w:rPr>
        <w:t xml:space="preserve">  = (</w:t>
      </w:r>
      <w:r w:rsidRPr="009F2415">
        <w:sym w:font="Symbol" w:char="F053"/>
      </w:r>
      <w:r w:rsidRPr="001641A4">
        <w:rPr>
          <w:vertAlign w:val="superscript"/>
          <w:lang w:val="pt-PT"/>
        </w:rPr>
        <w:t>t</w:t>
      </w:r>
      <w:r w:rsidRPr="001641A4">
        <w:rPr>
          <w:vertAlign w:val="subscript"/>
          <w:lang w:val="pt-PT"/>
        </w:rPr>
        <w:t>i=1</w:t>
      </w:r>
      <w:r w:rsidRPr="001641A4">
        <w:rPr>
          <w:lang w:val="pt-PT"/>
        </w:rPr>
        <w:t xml:space="preserve"> v</w:t>
      </w:r>
      <w:r w:rsidRPr="001641A4">
        <w:rPr>
          <w:vertAlign w:val="subscript"/>
          <w:lang w:val="pt-PT"/>
        </w:rPr>
        <w:t>i</w:t>
      </w:r>
      <w:r w:rsidRPr="001641A4">
        <w:rPr>
          <w:lang w:val="pt-PT"/>
        </w:rPr>
        <w:t>x</w:t>
      </w:r>
      <w:r w:rsidRPr="001641A4">
        <w:rPr>
          <w:vertAlign w:val="subscript"/>
          <w:lang w:val="pt-PT"/>
        </w:rPr>
        <w:t>ij</w:t>
      </w:r>
      <w:r w:rsidRPr="001641A4">
        <w:rPr>
          <w:lang w:val="pt-PT"/>
        </w:rPr>
        <w:t xml:space="preserve">)/( </w:t>
      </w:r>
      <w:r w:rsidRPr="009F2415">
        <w:sym w:font="Symbol" w:char="F053"/>
      </w:r>
      <w:r w:rsidRPr="001641A4">
        <w:rPr>
          <w:vertAlign w:val="superscript"/>
          <w:lang w:val="pt-PT"/>
        </w:rPr>
        <w:t>s</w:t>
      </w:r>
      <w:r w:rsidRPr="001641A4">
        <w:rPr>
          <w:vertAlign w:val="subscript"/>
          <w:lang w:val="pt-PT"/>
        </w:rPr>
        <w:t>r=1</w:t>
      </w:r>
      <w:r w:rsidRPr="001641A4">
        <w:rPr>
          <w:lang w:val="pt-PT"/>
        </w:rPr>
        <w:t xml:space="preserve"> u</w:t>
      </w:r>
      <w:r w:rsidRPr="001641A4">
        <w:rPr>
          <w:vertAlign w:val="subscript"/>
          <w:lang w:val="pt-PT"/>
        </w:rPr>
        <w:t>r</w:t>
      </w:r>
      <w:r w:rsidRPr="001641A4">
        <w:rPr>
          <w:lang w:val="pt-PT"/>
        </w:rPr>
        <w:t>y</w:t>
      </w:r>
      <w:r w:rsidRPr="001641A4">
        <w:rPr>
          <w:vertAlign w:val="subscript"/>
          <w:lang w:val="pt-PT"/>
        </w:rPr>
        <w:t>rj</w:t>
      </w:r>
      <w:r w:rsidRPr="001641A4">
        <w:rPr>
          <w:lang w:val="pt-PT"/>
        </w:rPr>
        <w:t xml:space="preserve"> )</w:t>
      </w:r>
      <w:r w:rsidRPr="009F2415">
        <w:rPr>
          <w:vertAlign w:val="superscript"/>
        </w:rPr>
        <w:sym w:font="Symbol" w:char="F02D"/>
      </w:r>
      <w:r w:rsidRPr="001641A4">
        <w:rPr>
          <w:vertAlign w:val="superscript"/>
          <w:lang w:val="pt-PT"/>
        </w:rPr>
        <w:t>1</w:t>
      </w:r>
      <w:r w:rsidRPr="001641A4">
        <w:rPr>
          <w:lang w:val="pt-PT"/>
        </w:rPr>
        <w:t xml:space="preserve">                                   (1)</w:t>
      </w:r>
    </w:p>
    <w:p w:rsidR="00BB595B" w:rsidRPr="009F2415" w:rsidRDefault="00BB595B" w:rsidP="00BB595B">
      <w:pPr>
        <w:spacing w:line="480" w:lineRule="exact"/>
        <w:ind w:firstLine="720"/>
      </w:pPr>
      <w:r w:rsidRPr="009F2415">
        <w:t xml:space="preserve">where </w:t>
      </w:r>
    </w:p>
    <w:p w:rsidR="00BB595B" w:rsidRPr="009F2415" w:rsidRDefault="00BB595B" w:rsidP="00BB595B">
      <w:pPr>
        <w:spacing w:line="480" w:lineRule="exact"/>
        <w:ind w:firstLine="720"/>
      </w:pPr>
      <w:r w:rsidRPr="009F2415">
        <w:t xml:space="preserve"> (</w:t>
      </w:r>
      <w:r w:rsidRPr="009F2415">
        <w:sym w:font="Symbol" w:char="F053"/>
      </w:r>
      <w:r w:rsidRPr="009F2415">
        <w:rPr>
          <w:vertAlign w:val="superscript"/>
        </w:rPr>
        <w:t>t</w:t>
      </w:r>
      <w:r w:rsidRPr="009F2415">
        <w:rPr>
          <w:vertAlign w:val="subscript"/>
        </w:rPr>
        <w:t>i=1</w:t>
      </w:r>
      <w:r w:rsidRPr="009F2415">
        <w:t xml:space="preserve"> v</w:t>
      </w:r>
      <w:r w:rsidRPr="009F2415">
        <w:rPr>
          <w:vertAlign w:val="subscript"/>
        </w:rPr>
        <w:t>i</w:t>
      </w:r>
      <w:r w:rsidRPr="009F2415">
        <w:t>x</w:t>
      </w:r>
      <w:r w:rsidRPr="009F2415">
        <w:rPr>
          <w:vertAlign w:val="subscript"/>
        </w:rPr>
        <w:t>ij</w:t>
      </w:r>
      <w:r w:rsidRPr="009F2415">
        <w:t xml:space="preserve">)/( </w:t>
      </w:r>
      <w:r w:rsidRPr="009F2415">
        <w:sym w:font="Symbol" w:char="F053"/>
      </w:r>
      <w:r w:rsidRPr="009F2415">
        <w:rPr>
          <w:vertAlign w:val="superscript"/>
        </w:rPr>
        <w:t>s</w:t>
      </w:r>
      <w:r w:rsidRPr="009F2415">
        <w:rPr>
          <w:vertAlign w:val="subscript"/>
        </w:rPr>
        <w:t>r=1</w:t>
      </w:r>
      <w:r w:rsidRPr="009F2415">
        <w:t xml:space="preserve"> u</w:t>
      </w:r>
      <w:r w:rsidRPr="009F2415">
        <w:rPr>
          <w:vertAlign w:val="subscript"/>
        </w:rPr>
        <w:t>r</w:t>
      </w:r>
      <w:r w:rsidRPr="009F2415">
        <w:t>y</w:t>
      </w:r>
      <w:r w:rsidRPr="009F2415">
        <w:rPr>
          <w:vertAlign w:val="subscript"/>
        </w:rPr>
        <w:t>rj</w:t>
      </w:r>
      <w:r w:rsidRPr="009F2415">
        <w:t xml:space="preserve"> )</w:t>
      </w:r>
      <w:r w:rsidRPr="009F2415">
        <w:rPr>
          <w:vertAlign w:val="superscript"/>
        </w:rPr>
        <w:sym w:font="Symbol" w:char="F02D"/>
      </w:r>
      <w:r w:rsidRPr="009F2415">
        <w:rPr>
          <w:vertAlign w:val="superscript"/>
        </w:rPr>
        <w:t>1</w:t>
      </w:r>
      <w:r w:rsidRPr="009F2415">
        <w:sym w:font="Symbol" w:char="F0B3"/>
      </w:r>
      <w:r w:rsidRPr="009F2415">
        <w:t xml:space="preserve"> 1 for all j =1,…,n.                         (2)                                                                   </w:t>
      </w:r>
    </w:p>
    <w:p w:rsidR="00BB595B" w:rsidRPr="009F2415" w:rsidRDefault="00BB595B" w:rsidP="00BB595B">
      <w:pPr>
        <w:spacing w:line="480" w:lineRule="exact"/>
        <w:ind w:firstLine="720"/>
      </w:pPr>
      <w:r w:rsidRPr="009F2415">
        <w:t>Similarly we define performance efficiency, PE</w:t>
      </w:r>
      <w:r w:rsidRPr="009F2415">
        <w:rPr>
          <w:i/>
          <w:vertAlign w:val="subscript"/>
        </w:rPr>
        <w:t>j</w:t>
      </w:r>
      <w:r w:rsidRPr="009F2415">
        <w:t>, as the reciprocal of (1). These measures are conceptual relaxations of the decisional inefficiency and efficiency measures first proposed in Troutt (1995).  The stress on performance seeks to address more general situations when outputs and/or inputs are not necessarily direct decisions by the units but may be indicators or results of more basic actions, decisions or strategies over time that yielded the observed outputs and input measures. For example in the present application the scalar output measure of sales is a direct performance measure rather than a “decided” or chosen quantity.</w:t>
      </w:r>
    </w:p>
    <w:p w:rsidR="00BB595B" w:rsidRPr="009F2415" w:rsidRDefault="00BB595B" w:rsidP="00BB595B">
      <w:pPr>
        <w:spacing w:line="480" w:lineRule="exact"/>
        <w:ind w:firstLine="720"/>
      </w:pPr>
      <w:r w:rsidRPr="009F2415">
        <w:t>The choice of PI over PE is made for analytical convenience. In this paper we use the PI form (1) as follows. For each firm we have a single output of sales y</w:t>
      </w:r>
      <w:r w:rsidRPr="009F2415">
        <w:rPr>
          <w:vertAlign w:val="subscript"/>
        </w:rPr>
        <w:t>j</w:t>
      </w:r>
      <w:r w:rsidRPr="009F2415">
        <w:t xml:space="preserve"> and two inputs, </w:t>
      </w:r>
      <w:r w:rsidRPr="009F2415">
        <w:rPr>
          <w:b/>
        </w:rPr>
        <w:t>x</w:t>
      </w:r>
      <w:r w:rsidRPr="009F2415">
        <w:t xml:space="preserve"> = (x</w:t>
      </w:r>
      <w:r w:rsidRPr="009F2415">
        <w:rPr>
          <w:vertAlign w:val="subscript"/>
        </w:rPr>
        <w:t>1</w:t>
      </w:r>
      <w:r w:rsidRPr="009F2415">
        <w:t>, x</w:t>
      </w:r>
      <w:r w:rsidRPr="009F2415">
        <w:rPr>
          <w:vertAlign w:val="subscript"/>
        </w:rPr>
        <w:t>2</w:t>
      </w:r>
      <w:r w:rsidRPr="009F2415">
        <w:t>) with x</w:t>
      </w:r>
      <w:r w:rsidRPr="009F2415">
        <w:rPr>
          <w:vertAlign w:val="subscript"/>
        </w:rPr>
        <w:t>1</w:t>
      </w:r>
      <w:r w:rsidRPr="009F2415">
        <w:t xml:space="preserve"> = capital and x</w:t>
      </w:r>
      <w:r w:rsidRPr="009F2415">
        <w:rPr>
          <w:vertAlign w:val="subscript"/>
        </w:rPr>
        <w:t>2</w:t>
      </w:r>
      <w:r w:rsidRPr="009F2415">
        <w:t xml:space="preserve"> = labor. Since y</w:t>
      </w:r>
      <w:r w:rsidRPr="009F2415">
        <w:rPr>
          <w:vertAlign w:val="subscript"/>
        </w:rPr>
        <w:t>j</w:t>
      </w:r>
      <w:r w:rsidRPr="009F2415">
        <w:t xml:space="preserve"> is a scalar, (1) is a linear function of the input weights. Thus the MPI estimation principle results in a simple linear programming problem given by</w:t>
      </w:r>
    </w:p>
    <w:p w:rsidR="00BB595B" w:rsidRDefault="00BB595B" w:rsidP="00BB595B">
      <w:pPr>
        <w:spacing w:line="480" w:lineRule="exact"/>
        <w:ind w:firstLine="720"/>
        <w:rPr>
          <w:b/>
        </w:rPr>
      </w:pPr>
    </w:p>
    <w:p w:rsidR="00BB595B" w:rsidRPr="00CC20F7" w:rsidRDefault="00BB595B" w:rsidP="00BB595B">
      <w:pPr>
        <w:spacing w:line="480" w:lineRule="exact"/>
        <w:ind w:firstLine="720"/>
        <w:rPr>
          <w:lang w:val="sv-SE"/>
        </w:rPr>
      </w:pPr>
      <w:r w:rsidRPr="00CC20F7">
        <w:rPr>
          <w:b/>
          <w:lang w:val="sv-SE"/>
        </w:rPr>
        <w:lastRenderedPageBreak/>
        <w:t xml:space="preserve">MPI: </w:t>
      </w:r>
      <w:r w:rsidRPr="00CC20F7">
        <w:rPr>
          <w:lang w:val="sv-SE"/>
        </w:rPr>
        <w:t xml:space="preserve">Min </w:t>
      </w:r>
      <w:r w:rsidRPr="009F2415">
        <w:sym w:font="Symbol" w:char="F053"/>
      </w:r>
      <w:r w:rsidRPr="00CC20F7">
        <w:rPr>
          <w:vertAlign w:val="superscript"/>
          <w:lang w:val="sv-SE"/>
        </w:rPr>
        <w:t>n</w:t>
      </w:r>
      <w:r w:rsidRPr="00CC20F7">
        <w:rPr>
          <w:vertAlign w:val="subscript"/>
          <w:lang w:val="sv-SE"/>
        </w:rPr>
        <w:t>j=1</w:t>
      </w:r>
      <w:r w:rsidRPr="00CC20F7">
        <w:rPr>
          <w:lang w:val="sv-SE"/>
        </w:rPr>
        <w:t xml:space="preserve"> </w:t>
      </w:r>
      <w:r w:rsidRPr="009F2415">
        <w:sym w:font="Symbol" w:char="F053"/>
      </w:r>
      <w:r w:rsidRPr="00CC20F7">
        <w:rPr>
          <w:vertAlign w:val="superscript"/>
          <w:lang w:val="sv-SE"/>
        </w:rPr>
        <w:t>t</w:t>
      </w:r>
      <w:r w:rsidRPr="00CC20F7">
        <w:rPr>
          <w:vertAlign w:val="subscript"/>
          <w:lang w:val="sv-SE"/>
        </w:rPr>
        <w:t>i=1</w:t>
      </w:r>
      <w:r w:rsidRPr="00CC20F7">
        <w:rPr>
          <w:lang w:val="sv-SE"/>
        </w:rPr>
        <w:t xml:space="preserve"> v</w:t>
      </w:r>
      <w:r w:rsidRPr="00CC20F7">
        <w:rPr>
          <w:vertAlign w:val="subscript"/>
          <w:lang w:val="sv-SE"/>
        </w:rPr>
        <w:t>i</w:t>
      </w:r>
      <w:r w:rsidRPr="00CC20F7">
        <w:rPr>
          <w:lang w:val="sv-SE"/>
        </w:rPr>
        <w:t xml:space="preserve"> x</w:t>
      </w:r>
      <w:r w:rsidRPr="00CC20F7">
        <w:rPr>
          <w:vertAlign w:val="subscript"/>
          <w:lang w:val="sv-SE"/>
        </w:rPr>
        <w:t>ij</w:t>
      </w:r>
      <w:r w:rsidRPr="00CC20F7">
        <w:rPr>
          <w:lang w:val="sv-SE"/>
        </w:rPr>
        <w:t>y</w:t>
      </w:r>
      <w:r w:rsidRPr="00CC20F7">
        <w:rPr>
          <w:vertAlign w:val="subscript"/>
          <w:lang w:val="sv-SE"/>
        </w:rPr>
        <w:t>j</w:t>
      </w:r>
      <w:r w:rsidRPr="009F2415">
        <w:rPr>
          <w:vertAlign w:val="superscript"/>
        </w:rPr>
        <w:sym w:font="Symbol" w:char="F02D"/>
      </w:r>
      <w:r w:rsidRPr="00CC20F7">
        <w:rPr>
          <w:vertAlign w:val="superscript"/>
          <w:lang w:val="sv-SE"/>
        </w:rPr>
        <w:t>1</w:t>
      </w:r>
    </w:p>
    <w:p w:rsidR="00BB595B" w:rsidRPr="00DE27EC" w:rsidRDefault="00BB595B" w:rsidP="00BB595B">
      <w:pPr>
        <w:spacing w:line="480" w:lineRule="exact"/>
        <w:ind w:firstLine="720"/>
        <w:rPr>
          <w:lang w:val="sv-SE"/>
        </w:rPr>
      </w:pPr>
      <w:r w:rsidRPr="00CC20F7">
        <w:rPr>
          <w:lang w:val="sv-SE"/>
        </w:rPr>
        <w:t xml:space="preserve">                                           </w:t>
      </w:r>
      <w:r w:rsidRPr="00DE27EC">
        <w:rPr>
          <w:lang w:val="sv-SE"/>
        </w:rPr>
        <w:t xml:space="preserve">s. t. </w:t>
      </w:r>
      <w:r w:rsidRPr="009F2415">
        <w:sym w:font="Symbol" w:char="F053"/>
      </w:r>
      <w:r w:rsidRPr="00DE27EC">
        <w:rPr>
          <w:vertAlign w:val="superscript"/>
          <w:lang w:val="sv-SE"/>
        </w:rPr>
        <w:t>t</w:t>
      </w:r>
      <w:r w:rsidRPr="00DE27EC">
        <w:rPr>
          <w:vertAlign w:val="subscript"/>
          <w:lang w:val="sv-SE"/>
        </w:rPr>
        <w:t>i=1</w:t>
      </w:r>
      <w:r w:rsidRPr="00DE27EC">
        <w:rPr>
          <w:lang w:val="sv-SE"/>
        </w:rPr>
        <w:t xml:space="preserve"> v</w:t>
      </w:r>
      <w:r w:rsidRPr="00DE27EC">
        <w:rPr>
          <w:vertAlign w:val="subscript"/>
          <w:lang w:val="sv-SE"/>
        </w:rPr>
        <w:t>i</w:t>
      </w:r>
      <w:r w:rsidRPr="00DE27EC">
        <w:rPr>
          <w:lang w:val="sv-SE"/>
        </w:rPr>
        <w:t>x</w:t>
      </w:r>
      <w:r w:rsidRPr="00DE27EC">
        <w:rPr>
          <w:vertAlign w:val="subscript"/>
          <w:lang w:val="sv-SE"/>
        </w:rPr>
        <w:t xml:space="preserve">ij </w:t>
      </w:r>
      <w:r w:rsidRPr="009F2415">
        <w:sym w:font="Symbol" w:char="F0B3"/>
      </w:r>
      <w:r w:rsidRPr="00DE27EC">
        <w:rPr>
          <w:lang w:val="sv-SE"/>
        </w:rPr>
        <w:t>y</w:t>
      </w:r>
      <w:r w:rsidRPr="00DE27EC">
        <w:rPr>
          <w:vertAlign w:val="subscript"/>
          <w:lang w:val="sv-SE"/>
        </w:rPr>
        <w:t>j</w:t>
      </w:r>
      <w:r w:rsidRPr="00DE27EC">
        <w:rPr>
          <w:lang w:val="sv-SE"/>
        </w:rPr>
        <w:t xml:space="preserve"> for all j =1,…,n.                                             </w:t>
      </w:r>
    </w:p>
    <w:p w:rsidR="00BB595B" w:rsidRPr="00BB595B" w:rsidRDefault="00BB595B" w:rsidP="00BB595B">
      <w:pPr>
        <w:spacing w:line="480" w:lineRule="exact"/>
        <w:ind w:firstLine="720"/>
        <w:rPr>
          <w:lang w:val="en-GB"/>
        </w:rPr>
      </w:pPr>
      <w:r w:rsidRPr="00DE27EC">
        <w:rPr>
          <w:lang w:val="sv-SE"/>
        </w:rPr>
        <w:tab/>
      </w:r>
      <w:r w:rsidRPr="00DE27EC">
        <w:rPr>
          <w:lang w:val="sv-SE"/>
        </w:rPr>
        <w:tab/>
      </w:r>
      <w:r w:rsidRPr="00DE27EC">
        <w:rPr>
          <w:lang w:val="sv-SE"/>
        </w:rPr>
        <w:tab/>
      </w:r>
      <w:r w:rsidRPr="00DE27EC">
        <w:rPr>
          <w:lang w:val="sv-SE"/>
        </w:rPr>
        <w:tab/>
        <w:t>v</w:t>
      </w:r>
      <w:r w:rsidRPr="00DE27EC">
        <w:rPr>
          <w:vertAlign w:val="subscript"/>
          <w:lang w:val="sv-SE"/>
        </w:rPr>
        <w:t>i</w:t>
      </w:r>
      <w:r w:rsidRPr="009F2415">
        <w:sym w:font="Symbol" w:char="F0B3"/>
      </w:r>
      <w:r w:rsidRPr="00DE27EC">
        <w:rPr>
          <w:lang w:val="sv-SE"/>
        </w:rPr>
        <w:t xml:space="preserve">0 for  i = 1, 2.                            </w:t>
      </w:r>
      <w:r w:rsidRPr="00BB595B">
        <w:rPr>
          <w:lang w:val="en-GB"/>
        </w:rPr>
        <w:t>(3)</w:t>
      </w:r>
    </w:p>
    <w:p w:rsidR="00BB595B" w:rsidRPr="009F2415" w:rsidRDefault="00BB595B" w:rsidP="00BB595B">
      <w:pPr>
        <w:spacing w:line="480" w:lineRule="exact"/>
        <w:ind w:firstLine="720"/>
      </w:pPr>
      <w:r w:rsidRPr="009F2415">
        <w:t xml:space="preserve">Let </w:t>
      </w:r>
      <w:r w:rsidRPr="009F2415">
        <w:rPr>
          <w:b/>
        </w:rPr>
        <w:t>v</w:t>
      </w:r>
      <w:r w:rsidRPr="009F2415">
        <w:t xml:space="preserve">* be the optimal vector of weights obtained from model (3).  Then we obtain a frontier function </w:t>
      </w:r>
    </w:p>
    <w:p w:rsidR="00BB595B" w:rsidRPr="009F2415" w:rsidRDefault="00BB595B" w:rsidP="00BB595B">
      <w:pPr>
        <w:spacing w:line="480" w:lineRule="exact"/>
        <w:ind w:firstLine="720"/>
      </w:pPr>
      <w:r w:rsidRPr="009F2415">
        <w:t>y</w:t>
      </w:r>
      <w:r w:rsidRPr="009F2415">
        <w:rPr>
          <w:vertAlign w:val="subscript"/>
        </w:rPr>
        <w:t>j</w:t>
      </w:r>
      <w:r w:rsidRPr="009F2415">
        <w:t xml:space="preserve">* = </w:t>
      </w:r>
      <w:r w:rsidRPr="009F2415">
        <w:sym w:font="Symbol" w:char="F053"/>
      </w:r>
      <w:r w:rsidRPr="009F2415">
        <w:rPr>
          <w:vertAlign w:val="superscript"/>
        </w:rPr>
        <w:t>t</w:t>
      </w:r>
      <w:r w:rsidRPr="009F2415">
        <w:rPr>
          <w:vertAlign w:val="subscript"/>
        </w:rPr>
        <w:t>i=1</w:t>
      </w:r>
      <w:r w:rsidRPr="009F2415">
        <w:t xml:space="preserve"> v</w:t>
      </w:r>
      <w:r w:rsidRPr="009F2415">
        <w:rPr>
          <w:vertAlign w:val="subscript"/>
        </w:rPr>
        <w:t>i</w:t>
      </w:r>
      <w:r w:rsidRPr="009F2415">
        <w:t>*x</w:t>
      </w:r>
      <w:r w:rsidRPr="009F2415">
        <w:rPr>
          <w:vertAlign w:val="subscript"/>
        </w:rPr>
        <w:t>i</w:t>
      </w:r>
      <w:r w:rsidRPr="009F2415">
        <w:t>.                                     (4)</w:t>
      </w:r>
    </w:p>
    <w:p w:rsidR="00BB595B" w:rsidRPr="009F2415" w:rsidRDefault="00BB595B" w:rsidP="00BB595B">
      <w:pPr>
        <w:spacing w:line="480" w:lineRule="exact"/>
        <w:ind w:firstLine="720"/>
      </w:pPr>
      <w:r w:rsidRPr="009F2415">
        <w:t>Thus for firm i with input data x</w:t>
      </w:r>
      <w:r w:rsidRPr="009F2415">
        <w:rPr>
          <w:vertAlign w:val="subscript"/>
        </w:rPr>
        <w:t xml:space="preserve">ij </w:t>
      </w:r>
      <w:r w:rsidRPr="009F2415">
        <w:t>and output data y</w:t>
      </w:r>
      <w:r w:rsidRPr="009F2415">
        <w:rPr>
          <w:vertAlign w:val="subscript"/>
        </w:rPr>
        <w:t>j</w:t>
      </w:r>
      <w:r w:rsidRPr="009F2415">
        <w:t xml:space="preserve"> we have y</w:t>
      </w:r>
      <w:r w:rsidRPr="009F2415">
        <w:rPr>
          <w:vertAlign w:val="subscript"/>
        </w:rPr>
        <w:t>j</w:t>
      </w:r>
      <w:r w:rsidRPr="009F2415">
        <w:t xml:space="preserve">* = </w:t>
      </w:r>
      <w:r w:rsidRPr="009F2415">
        <w:sym w:font="Symbol" w:char="F053"/>
      </w:r>
      <w:r w:rsidRPr="009F2415">
        <w:rPr>
          <w:vertAlign w:val="superscript"/>
        </w:rPr>
        <w:t>t</w:t>
      </w:r>
      <w:r w:rsidRPr="009F2415">
        <w:rPr>
          <w:vertAlign w:val="subscript"/>
        </w:rPr>
        <w:t>i=1</w:t>
      </w:r>
      <w:r w:rsidRPr="009F2415">
        <w:t xml:space="preserve"> v</w:t>
      </w:r>
      <w:r w:rsidRPr="009F2415">
        <w:rPr>
          <w:vertAlign w:val="subscript"/>
        </w:rPr>
        <w:t>i</w:t>
      </w:r>
      <w:r w:rsidRPr="009F2415">
        <w:t>x</w:t>
      </w:r>
      <w:r w:rsidRPr="009F2415">
        <w:rPr>
          <w:vertAlign w:val="subscript"/>
        </w:rPr>
        <w:t>ij</w:t>
      </w:r>
      <w:r w:rsidRPr="009F2415">
        <w:t xml:space="preserve">. It follows that the distance from the linear frontier is the shortfall </w:t>
      </w:r>
      <w:r w:rsidRPr="009F2415">
        <w:sym w:font="Symbol" w:char="F064"/>
      </w:r>
      <w:r w:rsidRPr="009F2415">
        <w:rPr>
          <w:vertAlign w:val="superscript"/>
        </w:rPr>
        <w:t>lin</w:t>
      </w:r>
      <w:r w:rsidRPr="009F2415">
        <w:rPr>
          <w:vertAlign w:val="subscript"/>
        </w:rPr>
        <w:t xml:space="preserve">i </w:t>
      </w:r>
      <w:r w:rsidRPr="009F2415">
        <w:t xml:space="preserve">given by  </w:t>
      </w:r>
    </w:p>
    <w:p w:rsidR="00BB595B" w:rsidRPr="009F2415" w:rsidRDefault="00BB595B" w:rsidP="00BB595B">
      <w:pPr>
        <w:spacing w:line="480" w:lineRule="exact"/>
        <w:ind w:firstLine="720"/>
      </w:pPr>
      <w:r w:rsidRPr="009F2415">
        <w:tab/>
      </w:r>
      <w:r w:rsidRPr="009F2415">
        <w:tab/>
      </w:r>
      <w:r w:rsidRPr="009F2415">
        <w:tab/>
      </w:r>
      <w:r w:rsidRPr="009F2415">
        <w:sym w:font="Symbol" w:char="F064"/>
      </w:r>
      <w:r w:rsidRPr="00CC20F7">
        <w:rPr>
          <w:vertAlign w:val="superscript"/>
          <w:lang w:val="sv-SE"/>
        </w:rPr>
        <w:t>lin</w:t>
      </w:r>
      <w:r w:rsidRPr="00CC20F7">
        <w:rPr>
          <w:vertAlign w:val="subscript"/>
          <w:lang w:val="sv-SE"/>
        </w:rPr>
        <w:t>i</w:t>
      </w:r>
      <w:r w:rsidRPr="00CC20F7">
        <w:rPr>
          <w:lang w:val="sv-SE"/>
        </w:rPr>
        <w:t xml:space="preserve">   = y</w:t>
      </w:r>
      <w:r w:rsidRPr="00CC20F7">
        <w:rPr>
          <w:vertAlign w:val="subscript"/>
          <w:lang w:val="sv-SE"/>
        </w:rPr>
        <w:t>j</w:t>
      </w:r>
      <w:r w:rsidRPr="00CC20F7">
        <w:rPr>
          <w:lang w:val="sv-SE"/>
        </w:rPr>
        <w:t>* – y</w:t>
      </w:r>
      <w:r w:rsidRPr="00CC20F7">
        <w:rPr>
          <w:vertAlign w:val="subscript"/>
          <w:lang w:val="sv-SE"/>
        </w:rPr>
        <w:t>j</w:t>
      </w:r>
      <w:r w:rsidRPr="00CC20F7">
        <w:rPr>
          <w:lang w:val="sv-SE"/>
        </w:rPr>
        <w:t xml:space="preserve"> = (</w:t>
      </w:r>
      <w:r w:rsidRPr="009F2415">
        <w:sym w:font="Symbol" w:char="F053"/>
      </w:r>
      <w:r w:rsidRPr="00CC20F7">
        <w:rPr>
          <w:vertAlign w:val="superscript"/>
          <w:lang w:val="sv-SE"/>
        </w:rPr>
        <w:t>t</w:t>
      </w:r>
      <w:r w:rsidRPr="00CC20F7">
        <w:rPr>
          <w:vertAlign w:val="subscript"/>
          <w:lang w:val="sv-SE"/>
        </w:rPr>
        <w:t>i=1</w:t>
      </w:r>
      <w:r w:rsidRPr="00CC20F7">
        <w:rPr>
          <w:lang w:val="sv-SE"/>
        </w:rPr>
        <w:t xml:space="preserve"> v</w:t>
      </w:r>
      <w:r w:rsidRPr="00CC20F7">
        <w:rPr>
          <w:vertAlign w:val="subscript"/>
          <w:lang w:val="sv-SE"/>
        </w:rPr>
        <w:t>i</w:t>
      </w:r>
      <w:r w:rsidRPr="00CC20F7">
        <w:rPr>
          <w:lang w:val="sv-SE"/>
        </w:rPr>
        <w:t>*x</w:t>
      </w:r>
      <w:r w:rsidRPr="00CC20F7">
        <w:rPr>
          <w:vertAlign w:val="subscript"/>
          <w:lang w:val="sv-SE"/>
        </w:rPr>
        <w:t>ij</w:t>
      </w:r>
      <w:r w:rsidRPr="00CC20F7">
        <w:rPr>
          <w:lang w:val="sv-SE"/>
        </w:rPr>
        <w:t xml:space="preserve"> ) – y</w:t>
      </w:r>
      <w:r w:rsidRPr="00CC20F7">
        <w:rPr>
          <w:vertAlign w:val="subscript"/>
          <w:lang w:val="sv-SE"/>
        </w:rPr>
        <w:t>j</w:t>
      </w:r>
      <w:r w:rsidRPr="00CC20F7">
        <w:rPr>
          <w:lang w:val="sv-SE"/>
        </w:rPr>
        <w:t xml:space="preserve">.                 </w:t>
      </w:r>
      <w:r w:rsidRPr="009F2415">
        <w:t>(5)</w:t>
      </w:r>
    </w:p>
    <w:p w:rsidR="00BB595B" w:rsidRPr="009F2415" w:rsidRDefault="00BB595B" w:rsidP="00BB595B">
      <w:pPr>
        <w:spacing w:line="480" w:lineRule="exact"/>
        <w:ind w:firstLine="720"/>
      </w:pPr>
      <w:r w:rsidRPr="009F2415">
        <w:t xml:space="preserve">For large values of </w:t>
      </w:r>
      <w:r w:rsidRPr="009F2415">
        <w:sym w:font="Symbol" w:char="F053"/>
      </w:r>
      <w:r w:rsidRPr="009F2415">
        <w:rPr>
          <w:vertAlign w:val="superscript"/>
        </w:rPr>
        <w:t>t</w:t>
      </w:r>
      <w:r w:rsidRPr="009F2415">
        <w:rPr>
          <w:vertAlign w:val="subscript"/>
        </w:rPr>
        <w:t>i=1</w:t>
      </w:r>
      <w:r w:rsidRPr="009F2415">
        <w:t xml:space="preserve"> v</w:t>
      </w:r>
      <w:r w:rsidRPr="009F2415">
        <w:rPr>
          <w:vertAlign w:val="subscript"/>
        </w:rPr>
        <w:t>i</w:t>
      </w:r>
      <w:r w:rsidRPr="009F2415">
        <w:t>*x</w:t>
      </w:r>
      <w:r w:rsidRPr="009F2415">
        <w:rPr>
          <w:vertAlign w:val="subscript"/>
        </w:rPr>
        <w:t xml:space="preserve">i </w:t>
      </w:r>
      <w:r w:rsidRPr="009F2415">
        <w:t>the potential distance to the frontier, namely, the associated y</w:t>
      </w:r>
      <w:r w:rsidRPr="009F2415">
        <w:rPr>
          <w:vertAlign w:val="subscript"/>
        </w:rPr>
        <w:t>j</w:t>
      </w:r>
      <w:r w:rsidRPr="009F2415">
        <w:t xml:space="preserve">*, is correspondingly larger. Therefore we also consider the relative distance </w:t>
      </w:r>
      <w:r w:rsidRPr="009F2415">
        <w:sym w:font="Symbol" w:char="F064"/>
      </w:r>
      <w:r w:rsidRPr="009F2415">
        <w:rPr>
          <w:vertAlign w:val="superscript"/>
        </w:rPr>
        <w:t>rlin</w:t>
      </w:r>
      <w:r w:rsidRPr="009F2415">
        <w:rPr>
          <w:vertAlign w:val="subscript"/>
        </w:rPr>
        <w:t xml:space="preserve">i </w:t>
      </w:r>
      <w:r w:rsidRPr="009F2415">
        <w:t>computed by</w:t>
      </w:r>
    </w:p>
    <w:p w:rsidR="00BB595B" w:rsidRPr="009F2415" w:rsidRDefault="00BB595B" w:rsidP="00BB595B">
      <w:pPr>
        <w:spacing w:line="480" w:lineRule="exact"/>
        <w:ind w:firstLine="720"/>
      </w:pPr>
      <w:r w:rsidRPr="009F2415">
        <w:sym w:font="Symbol" w:char="F064"/>
      </w:r>
      <w:r w:rsidRPr="00BB595B">
        <w:rPr>
          <w:vertAlign w:val="superscript"/>
        </w:rPr>
        <w:t>rlin</w:t>
      </w:r>
      <w:r w:rsidRPr="00BB595B">
        <w:rPr>
          <w:vertAlign w:val="subscript"/>
        </w:rPr>
        <w:t>i</w:t>
      </w:r>
      <w:r w:rsidRPr="00BB595B">
        <w:t xml:space="preserve">= </w:t>
      </w:r>
      <w:r w:rsidRPr="009F2415">
        <w:sym w:font="Symbol" w:char="F064"/>
      </w:r>
      <w:r w:rsidRPr="00BB595B">
        <w:rPr>
          <w:vertAlign w:val="superscript"/>
        </w:rPr>
        <w:t>lin</w:t>
      </w:r>
      <w:r w:rsidRPr="00BB595B">
        <w:rPr>
          <w:vertAlign w:val="subscript"/>
        </w:rPr>
        <w:t>i</w:t>
      </w:r>
      <w:r w:rsidRPr="00BB595B">
        <w:t xml:space="preserve"> / y</w:t>
      </w:r>
      <w:r w:rsidRPr="00BB595B">
        <w:rPr>
          <w:vertAlign w:val="subscript"/>
        </w:rPr>
        <w:t>j</w:t>
      </w:r>
      <w:r w:rsidRPr="00BB595B">
        <w:t>* = 1 – y</w:t>
      </w:r>
      <w:r w:rsidRPr="00BB595B">
        <w:rPr>
          <w:vertAlign w:val="subscript"/>
        </w:rPr>
        <w:t>j</w:t>
      </w:r>
      <w:r w:rsidRPr="00BB595B">
        <w:t>/y</w:t>
      </w:r>
      <w:r w:rsidRPr="00BB595B">
        <w:rPr>
          <w:vertAlign w:val="subscript"/>
        </w:rPr>
        <w:t>j</w:t>
      </w:r>
      <w:r w:rsidRPr="00BB595B">
        <w:t xml:space="preserve">*.                                    </w:t>
      </w:r>
      <w:r w:rsidRPr="009F2415">
        <w:t>(6)</w:t>
      </w:r>
    </w:p>
    <w:p w:rsidR="00BB595B" w:rsidRPr="009F2415" w:rsidRDefault="00BB595B" w:rsidP="00BB595B">
      <w:pPr>
        <w:spacing w:line="480" w:lineRule="exact"/>
        <w:ind w:firstLine="720"/>
      </w:pPr>
    </w:p>
    <w:p w:rsidR="00BB595B" w:rsidRPr="009F2415" w:rsidRDefault="00BB595B" w:rsidP="00BB595B">
      <w:pPr>
        <w:spacing w:line="480" w:lineRule="exact"/>
        <w:ind w:firstLine="720"/>
      </w:pPr>
      <w:r w:rsidRPr="009F2415">
        <w:t xml:space="preserve">These calculations involve a detail about input versus output orientation. The computations of </w:t>
      </w:r>
      <w:r w:rsidRPr="009F2415">
        <w:sym w:font="Symbol" w:char="F064"/>
      </w:r>
      <w:r w:rsidRPr="009F2415">
        <w:rPr>
          <w:vertAlign w:val="superscript"/>
        </w:rPr>
        <w:t>lin</w:t>
      </w:r>
      <w:r w:rsidRPr="009F2415">
        <w:rPr>
          <w:vertAlign w:val="subscript"/>
        </w:rPr>
        <w:t xml:space="preserve">i </w:t>
      </w:r>
      <w:r w:rsidRPr="009F2415">
        <w:t xml:space="preserve">(and would also be true for </w:t>
      </w:r>
      <w:r w:rsidRPr="009F2415">
        <w:sym w:font="Symbol" w:char="F064"/>
      </w:r>
      <w:r w:rsidRPr="009F2415">
        <w:rPr>
          <w:vertAlign w:val="superscript"/>
        </w:rPr>
        <w:t>rlin</w:t>
      </w:r>
      <w:r w:rsidRPr="009F2415">
        <w:rPr>
          <w:vertAlign w:val="subscript"/>
        </w:rPr>
        <w:t>i</w:t>
      </w:r>
      <w:r w:rsidRPr="009F2415">
        <w:t xml:space="preserve"> ) contrast with their counterparts in the case for which the performance score depends on the choice of inputs. The case at hand may be called output oriented as the inputs </w:t>
      </w:r>
      <w:r w:rsidRPr="009F2415">
        <w:rPr>
          <w:b/>
        </w:rPr>
        <w:t xml:space="preserve">x </w:t>
      </w:r>
      <w:r w:rsidRPr="009F2415">
        <w:t xml:space="preserve">are treated as given and then the firm achieves better or worse performance as reflected by the value of the scalar output y that the firm achieves. Thus y and the inefficiencies </w:t>
      </w:r>
      <w:r w:rsidRPr="009F2415">
        <w:sym w:font="Symbol" w:char="F064"/>
      </w:r>
      <w:r w:rsidRPr="009F2415">
        <w:rPr>
          <w:vertAlign w:val="superscript"/>
        </w:rPr>
        <w:t>lin</w:t>
      </w:r>
      <w:r w:rsidRPr="009F2415">
        <w:rPr>
          <w:vertAlign w:val="subscript"/>
        </w:rPr>
        <w:t xml:space="preserve">i  </w:t>
      </w:r>
      <w:r w:rsidRPr="009F2415">
        <w:t xml:space="preserve">(and </w:t>
      </w:r>
      <w:r w:rsidRPr="009F2415">
        <w:sym w:font="Symbol" w:char="F064"/>
      </w:r>
      <w:r w:rsidRPr="009F2415">
        <w:rPr>
          <w:vertAlign w:val="superscript"/>
        </w:rPr>
        <w:t>rlin</w:t>
      </w:r>
      <w:r w:rsidRPr="009F2415">
        <w:rPr>
          <w:vertAlign w:val="subscript"/>
        </w:rPr>
        <w:t>i</w:t>
      </w:r>
      <w:r w:rsidRPr="009F2415">
        <w:t xml:space="preserve"> ) are scalar performance measures. In </w:t>
      </w:r>
      <w:r w:rsidRPr="009F2415">
        <w:lastRenderedPageBreak/>
        <w:t xml:space="preserve">the input oriented case performance depends on how appropriately </w:t>
      </w:r>
      <w:r w:rsidRPr="00E84562">
        <w:rPr>
          <w:b/>
        </w:rPr>
        <w:t>x</w:t>
      </w:r>
      <w:r w:rsidRPr="009F2415">
        <w:t xml:space="preserve"> is chosen. The inefficiency distance measure is computed differently in that case and is given in Appendix A for comparison purposes. The reader may see Troutt (1995), Troutt et al</w:t>
      </w:r>
      <w:r>
        <w:t>.</w:t>
      </w:r>
      <w:r w:rsidRPr="009F2415">
        <w:t xml:space="preserve"> (2000), </w:t>
      </w:r>
      <w:r>
        <w:t xml:space="preserve">and </w:t>
      </w:r>
      <w:r w:rsidRPr="009F2415">
        <w:t>Troutt et al</w:t>
      </w:r>
      <w:r>
        <w:t>.</w:t>
      </w:r>
      <w:r w:rsidRPr="009F2415">
        <w:t xml:space="preserve"> (2004) for a discussion of relative strengths and weaknesses of the MPI approach as compared with DEA and other efficiency models. </w:t>
      </w:r>
      <w:r>
        <w:t>Suffice it to say that in this paper we employed a specific test of whether the MPI approach fits the observed patterns in our industries with the help of the target-mode agreement criterion (explain in detail below) and found it to be appropriate for judging the amount of technological arbitrage opportunity.</w:t>
      </w:r>
      <w:r w:rsidRPr="009F2415">
        <w:t xml:space="preserve"> </w:t>
      </w:r>
    </w:p>
    <w:p w:rsidR="00BB595B" w:rsidRPr="009F2415" w:rsidRDefault="00BB595B" w:rsidP="00BB595B">
      <w:pPr>
        <w:spacing w:line="480" w:lineRule="exact"/>
        <w:jc w:val="center"/>
        <w:rPr>
          <w:b/>
        </w:rPr>
      </w:pPr>
      <w:r>
        <w:rPr>
          <w:b/>
        </w:rPr>
        <w:t xml:space="preserve">2.4. </w:t>
      </w:r>
      <w:r w:rsidRPr="009F2415">
        <w:rPr>
          <w:b/>
        </w:rPr>
        <w:t>Measuring arbitrage opportunities in the time series context</w:t>
      </w:r>
    </w:p>
    <w:p w:rsidR="00BB595B" w:rsidRPr="009F2415" w:rsidRDefault="00BB595B" w:rsidP="00BB595B">
      <w:pPr>
        <w:spacing w:line="480" w:lineRule="exact"/>
        <w:ind w:firstLine="720"/>
      </w:pPr>
      <w:r w:rsidRPr="009F2415">
        <w:t xml:space="preserve">To properly employ our technique in the time series context we need to provide further conceptual development. After the creation and enactment of innovative opportunities by the industry leaders – introducing technological change – arbitrage opportunities become available to industry laggards and would-be entrants. Two tendencies could be expected to hold for such arbitrage opportunities with time. First, we believe such opportunities become more apparent with time: information about better ways of employing resources eventually spreads among the industry participants and adoption of innovations necessarily follows provided there are no insurmountable roadblocks to such adoption introduced by the industry appropriability regime (i.e., </w:t>
      </w:r>
      <w:r w:rsidRPr="009F2415">
        <w:lastRenderedPageBreak/>
        <w:t xml:space="preserve">strength of patent protection provided by the industry) or other external circumstances. For instance, today it is virtually impossible to find an auto manufacturer building steam-engine-based vehicles even though the (now dominant) internal combustion technology has been originally introduced into the industry by just one then-technologically-leading firm. That is, better technologies come to dominate their industries with time. Second, because of becoming more apparent to all firms in the industry, such opportunities are more likely to be exhausted due to mass exploitation. Thus, absent new innovations in the industry, the room for optimizing available to the industry participants will diminish: at some point major technologies providing improvement in the efficiency will spread among most industry participants. </w:t>
      </w:r>
    </w:p>
    <w:p w:rsidR="00BB595B" w:rsidRPr="009F2415" w:rsidRDefault="00BB595B" w:rsidP="00BB595B">
      <w:pPr>
        <w:spacing w:line="480" w:lineRule="exact"/>
        <w:ind w:firstLine="720"/>
      </w:pPr>
      <w:r w:rsidRPr="009F2415">
        <w:t xml:space="preserve">Thus, not only does it become important to estimate the average inefficiencies within an industry at a point in time (those would be inversely related to the room for optimizing) but also it is critical to ensure that the frontier against which the industry firms’ performance is being assessed reflects the best known technology at that point in time regardless of when a particular technological breakthrough has become available. Suppose, for instance, that in a particular industry over a course of ten years in addition to steady technological progress there has been a major technological breakthrough in year 5. Suppose also that due to some external event the leading firm(s) in that industry were </w:t>
      </w:r>
      <w:r w:rsidRPr="009F2415">
        <w:lastRenderedPageBreak/>
        <w:t xml:space="preserve">not able to perform adequately in year 6 and failed to exhibit model efficiency but fully recovered in year 7. How should the frontiers be constructed from year 1 to year 10 to estimate the efficiency of the industry firms? </w:t>
      </w:r>
    </w:p>
    <w:p w:rsidR="00BB595B" w:rsidRPr="009F2415" w:rsidRDefault="00BB595B" w:rsidP="00BB595B">
      <w:pPr>
        <w:spacing w:line="480" w:lineRule="exact"/>
        <w:ind w:firstLine="720"/>
      </w:pPr>
      <w:r w:rsidRPr="009F2415">
        <w:t xml:space="preserve">We suggest that to construct an adequate and meaningful frontier for year </w:t>
      </w:r>
      <w:r w:rsidRPr="009F2415">
        <w:rPr>
          <w:i/>
        </w:rPr>
        <w:t>t</w:t>
      </w:r>
      <w:r w:rsidRPr="009F2415">
        <w:t xml:space="preserve"> it is essential to consider observations in year </w:t>
      </w:r>
      <w:r w:rsidRPr="009F2415">
        <w:rPr>
          <w:i/>
        </w:rPr>
        <w:t>t</w:t>
      </w:r>
      <w:r w:rsidRPr="009F2415">
        <w:t xml:space="preserve"> as well as in all preceding years for which the data is available (in doing so, our method differs from the window analysis approach which keeps a fixed number of lags at all stages). In this case, if there has been progress in year </w:t>
      </w:r>
      <w:r w:rsidRPr="009F2415">
        <w:rPr>
          <w:i/>
        </w:rPr>
        <w:t>t</w:t>
      </w:r>
      <w:r w:rsidRPr="009F2415">
        <w:t xml:space="preserve"> compared to, say, year (</w:t>
      </w:r>
      <w:r w:rsidRPr="009F2415">
        <w:rPr>
          <w:i/>
        </w:rPr>
        <w:t>t</w:t>
      </w:r>
      <w:r w:rsidRPr="009F2415">
        <w:t xml:space="preserve">-1), the frontier for year </w:t>
      </w:r>
      <w:r w:rsidRPr="009F2415">
        <w:rPr>
          <w:i/>
        </w:rPr>
        <w:t>t</w:t>
      </w:r>
      <w:r w:rsidRPr="009F2415">
        <w:t xml:space="preserve"> will be based on the observations for year </w:t>
      </w:r>
      <w:r w:rsidRPr="009F2415">
        <w:rPr>
          <w:i/>
        </w:rPr>
        <w:t>t</w:t>
      </w:r>
      <w:r w:rsidRPr="009F2415">
        <w:t xml:space="preserve"> and as such will reflect such progress. This will be the case for years 1 through 5 in the hypothetical example above. If, however, the leading firm(s) that define the frontier in the industry fail to exhibit their model efficiency in year </w:t>
      </w:r>
      <w:r w:rsidRPr="009F2415">
        <w:rPr>
          <w:i/>
        </w:rPr>
        <w:t>t</w:t>
      </w:r>
      <w:r w:rsidRPr="009F2415">
        <w:t xml:space="preserve"> and in fact fall behind their previously established benchmark efficiency (which is the case in year 6 in our hypothetical example), the frontier for year </w:t>
      </w:r>
      <w:r w:rsidRPr="009F2415">
        <w:rPr>
          <w:i/>
        </w:rPr>
        <w:t>t</w:t>
      </w:r>
      <w:r w:rsidRPr="009F2415">
        <w:t xml:space="preserve"> should be based on the observations for year (</w:t>
      </w:r>
      <w:r w:rsidRPr="009F2415">
        <w:rPr>
          <w:i/>
        </w:rPr>
        <w:t>t</w:t>
      </w:r>
      <w:r w:rsidRPr="009F2415">
        <w:t xml:space="preserve">-1). What it means is that even though a technological regress in the industry may occur (for instance, due to industry restructuring or loss of key employees/managers by the leading firm(s)), the frontier should not contract since the best known technology has already been shown to exist. Much like in sports, previously established records hold until they are improved upon by superior athletes. Thus, in our hypothetical example above where productivity grows for every year except year 6 the frontier for year 6 will be based </w:t>
      </w:r>
      <w:r w:rsidRPr="009F2415">
        <w:lastRenderedPageBreak/>
        <w:t xml:space="preserve">on the observations for year 5, while for years 7 through 10 the frontier will always be based on the current year’s observations. In a more realistic case where some firms improve their performance over time while others fall behind, the frontier may be based on both the current and previous-period observations of different firms. For instance, a frontier in year 5 may be based on the observation of one firm in year 5 and another firm in year 3 (or any other firm-year combinations – depending on when exactly benchmark performances have been established). Accordingly, this approach to estimating the frontier is most similar to what Tulkens and Eeckaut (1995b) identify as a sequential frontier. </w:t>
      </w:r>
    </w:p>
    <w:p w:rsidR="00BB595B" w:rsidRPr="009F2415" w:rsidRDefault="00BB595B" w:rsidP="00BB595B">
      <w:pPr>
        <w:spacing w:line="480" w:lineRule="exact"/>
        <w:ind w:firstLine="720"/>
      </w:pPr>
      <w:r w:rsidRPr="009F2415">
        <w:t>Another important consideration has to do with the fact that annual frontiers constructed according to the approach presented above should not be allowed to intersect. Conceptually this is identical to the idea of indifference curves well known in economics. Because we assume steady progress in the industry, each consecutive frontier should be more or equally effective than the previous one, and an observation deemed inefficient in year (</w:t>
      </w:r>
      <w:r w:rsidRPr="009F2415">
        <w:rPr>
          <w:i/>
        </w:rPr>
        <w:t>t</w:t>
      </w:r>
      <w:r w:rsidRPr="009F2415">
        <w:t xml:space="preserve">-1) should not be declared efficient using year </w:t>
      </w:r>
      <w:r w:rsidRPr="009F2415">
        <w:rPr>
          <w:i/>
        </w:rPr>
        <w:t>t</w:t>
      </w:r>
      <w:r w:rsidRPr="009F2415">
        <w:t xml:space="preserve">’s frontier. In other words, should the frontiers from years </w:t>
      </w:r>
      <w:r w:rsidRPr="009F2415">
        <w:rPr>
          <w:i/>
        </w:rPr>
        <w:t>t</w:t>
      </w:r>
      <w:r w:rsidRPr="009F2415">
        <w:t xml:space="preserve"> and (</w:t>
      </w:r>
      <w:r w:rsidRPr="009F2415">
        <w:rPr>
          <w:i/>
        </w:rPr>
        <w:t>t</w:t>
      </w:r>
      <w:r w:rsidRPr="009F2415">
        <w:t xml:space="preserve">-1) intersect it would create uncertainty with respect to which of the frontiers is actually more effective, and which one should serve as a basis for assessing inefficiencies in year </w:t>
      </w:r>
      <w:r w:rsidRPr="009F2415">
        <w:rPr>
          <w:i/>
        </w:rPr>
        <w:t>t</w:t>
      </w:r>
      <w:r w:rsidRPr="009F2415">
        <w:t>. As demonstrated in Figure 1, firm F, which is inefficient with respect to (</w:t>
      </w:r>
      <w:r w:rsidRPr="009F2415">
        <w:rPr>
          <w:i/>
        </w:rPr>
        <w:t>t</w:t>
      </w:r>
      <w:r w:rsidRPr="009F2415">
        <w:t xml:space="preserve">-1) technology may be declared efficient in year </w:t>
      </w:r>
      <w:r w:rsidRPr="009F2415">
        <w:rPr>
          <w:i/>
        </w:rPr>
        <w:t>t</w:t>
      </w:r>
      <w:r w:rsidRPr="009F2415">
        <w:t xml:space="preserve"> if the </w:t>
      </w:r>
      <w:r w:rsidRPr="009F2415">
        <w:lastRenderedPageBreak/>
        <w:t xml:space="preserve">frontiers were allowed to intersect. This, obviously, is unreasonable. Accordingly, the frontiers should be parallel (when constructed as linear) or otherwise should not intersect if alternative production functions are considered (such as Cobb-Douglas function). Interestingly, this implies that in some years the frontier in the industry may be defined by a single firm with all other firms being located at a distance from such frontier.  </w:t>
      </w:r>
    </w:p>
    <w:p w:rsidR="00BB595B" w:rsidRPr="009F2415" w:rsidRDefault="00BB595B" w:rsidP="00BB595B">
      <w:pPr>
        <w:spacing w:line="480" w:lineRule="exact"/>
        <w:ind w:firstLine="720"/>
      </w:pPr>
    </w:p>
    <w:p w:rsidR="00BB595B" w:rsidRPr="009F2415" w:rsidRDefault="00BB595B" w:rsidP="00BB595B">
      <w:pPr>
        <w:spacing w:line="480" w:lineRule="exact"/>
        <w:jc w:val="center"/>
      </w:pPr>
      <w:r w:rsidRPr="009F2415">
        <w:t>---------------------------- Insert Figure 1 here ----------------------------</w:t>
      </w:r>
    </w:p>
    <w:p w:rsidR="00BB595B" w:rsidRPr="009F2415" w:rsidRDefault="00BB595B" w:rsidP="00BB595B">
      <w:pPr>
        <w:spacing w:line="480" w:lineRule="exact"/>
        <w:ind w:firstLine="720"/>
      </w:pPr>
    </w:p>
    <w:p w:rsidR="00BB595B" w:rsidRPr="009F2415" w:rsidRDefault="00BB595B" w:rsidP="00BB595B">
      <w:pPr>
        <w:spacing w:line="480" w:lineRule="exact"/>
        <w:ind w:firstLine="720"/>
      </w:pPr>
      <w:r w:rsidRPr="009F2415">
        <w:t>As suggested above, we believe that to calculate intraindustry arbitrage opportunities it is reasonable to use straight line or linear frontier for all industry firms</w:t>
      </w:r>
      <w:r>
        <w:t>, at least when industries are conceptualized with respect to their NAICS group membership</w:t>
      </w:r>
      <w:r w:rsidRPr="009F2415">
        <w:t xml:space="preserve">. </w:t>
      </w:r>
      <w:r>
        <w:t xml:space="preserve">The reason is that the criteria used to group establishments into industries in NAICS are similarity of input structures, labor skills, and production processes (North American Industry Classification System, 2007). </w:t>
      </w:r>
      <w:r w:rsidRPr="009F2415">
        <w:t xml:space="preserve">The question naturally arises as to how one determines the slope of the frontier when dealing with time series data (for situations with more than two inputs it is more appropriate to talk about the gradient, not the slope of the frontier). While at present there is no clear theoretical understanding of the most appropriate way to approach this issue, it is common practice in the </w:t>
      </w:r>
      <w:r>
        <w:t>operations</w:t>
      </w:r>
      <w:r w:rsidRPr="009F2415">
        <w:t xml:space="preserve"> literature to propose ‘consensus’-based solutions. For instance, the </w:t>
      </w:r>
      <w:r w:rsidRPr="009F2415">
        <w:lastRenderedPageBreak/>
        <w:t>Malmquist Productivity Index that considers two consecutive years to decompose changes in the total factor productivity into technical change and efficiency change looks at the geometric mean of two indices – one based on year (</w:t>
      </w:r>
      <w:r w:rsidRPr="009F2415">
        <w:rPr>
          <w:i/>
        </w:rPr>
        <w:t>t</w:t>
      </w:r>
      <w:r w:rsidRPr="009F2415">
        <w:t xml:space="preserve">-1) technology and the other based on year </w:t>
      </w:r>
      <w:r w:rsidRPr="009F2415">
        <w:rPr>
          <w:i/>
        </w:rPr>
        <w:t>t</w:t>
      </w:r>
      <w:r w:rsidRPr="009F2415">
        <w:t xml:space="preserve"> technology (Färe et al. 1994).  We suggest two alternative approaches that could be used to fix the slope of the frontier. First, the data from the first year of observation could provide the necessary information for deciding on the slope of the frontier. In that case, the technological limitations of that year will carry over to future years with the frontier slope reflecting a true state of technology at some point in time. Second, somewhat similarly to the Malmquist index, we could consider all years for which the data is available to determine the ‘consensus’ slope for the industry. In this case the slope will not necessarily mirror the exact technology that existed in any of the years in the data set but will represent the benchmark technology inferred from the empirical data. Such slope will in fact be established based on all the information available at the last period. In a sense, this approach approximates the so-called intertemporal production frontier (Tulkens and Eeckaut 1995b). In that it is somewhat risky to allow just one year to set the standards for the entire period under consideration (in case there was something abnormal in that year), we opt for using this second approach to set the slope of the frontier. As such, the method we suggest in this paper to estimate the amount of </w:t>
      </w:r>
      <w:r>
        <w:t xml:space="preserve">technological </w:t>
      </w:r>
      <w:r w:rsidRPr="009F2415">
        <w:t xml:space="preserve">arbitrage </w:t>
      </w:r>
      <w:r w:rsidRPr="009F2415">
        <w:lastRenderedPageBreak/>
        <w:t xml:space="preserve">opportunities available for exploitation in different industries combines the properties of both sequential (when it comes to deciding which firm-year observations to consider for each year’s frontier) and intertemporal frontiers (when it comes to determining the frontier function gradient). </w:t>
      </w:r>
    </w:p>
    <w:p w:rsidR="00BB595B" w:rsidRPr="009F2415" w:rsidRDefault="00BB595B" w:rsidP="00BB595B">
      <w:pPr>
        <w:spacing w:line="480" w:lineRule="exact"/>
        <w:ind w:firstLine="720"/>
      </w:pPr>
    </w:p>
    <w:p w:rsidR="00BB595B" w:rsidRPr="00E84562" w:rsidRDefault="00BB595B" w:rsidP="00E84562">
      <w:pPr>
        <w:spacing w:before="100" w:beforeAutospacing="1" w:line="480" w:lineRule="exact"/>
        <w:rPr>
          <w:b/>
          <w:i/>
        </w:rPr>
      </w:pPr>
      <w:r w:rsidRPr="00E84562">
        <w:rPr>
          <w:b/>
          <w:i/>
        </w:rPr>
        <w:t>A quality of fit measure</w:t>
      </w:r>
      <w:r w:rsidR="00AE159A">
        <w:rPr>
          <w:b/>
          <w:i/>
        </w:rPr>
        <w:t>: A target-mode criterion for target validation</w:t>
      </w:r>
    </w:p>
    <w:p w:rsidR="00BB595B" w:rsidRPr="009F2415" w:rsidRDefault="00BB595B" w:rsidP="00BB595B">
      <w:pPr>
        <w:spacing w:line="480" w:lineRule="exact"/>
        <w:ind w:firstLine="720"/>
      </w:pPr>
      <w:r w:rsidRPr="009F2415">
        <w:t xml:space="preserve">Although as said above we believe that the MPI approach is most appropriate to measuring </w:t>
      </w:r>
      <w:r>
        <w:t xml:space="preserve">technological </w:t>
      </w:r>
      <w:r w:rsidRPr="009F2415">
        <w:t xml:space="preserve">arbitrage opportunities at the industry level, given the wealth of methods that could potentially be used </w:t>
      </w:r>
      <w:r>
        <w:t>for</w:t>
      </w:r>
      <w:r w:rsidRPr="009F2415">
        <w:t xml:space="preserve"> constructing the production frontier we need to investigate whether our model provides a good fit to the real life data. When used as in the current context with a scalar output variable that is a direct measure of performance, the MPI models are similar to basic Aigner-Chu models (Aigner and Chu 1968) and stochastic composed error versions (Aigner, Lovell and Schmidt, 1977).  MPI models are also stochastic but regard random variation as resident in performance efficiency itself without composed errors.  This approach is philosophically close to Leibenstein’s X-efficiency theory (Leibenstein 1968, 1976, Franz 2004) but simply suggests that performance as measured by efficiency varies randomly and can be modeled by appropriate probability density functions.</w:t>
      </w:r>
    </w:p>
    <w:p w:rsidR="00BB595B" w:rsidRPr="009F2415" w:rsidRDefault="00BB595B" w:rsidP="00BB595B">
      <w:pPr>
        <w:spacing w:line="480" w:lineRule="exact"/>
        <w:ind w:firstLine="720"/>
        <w:rPr>
          <w:b/>
        </w:rPr>
      </w:pPr>
      <w:r w:rsidRPr="009F2415">
        <w:lastRenderedPageBreak/>
        <w:t xml:space="preserve">Attempts to validate Aigner and Chu type models usually appeal to maximum likelihood arguments. For example, the least squared errors criterion is also maximum likelihood if the errors are half-normal (Greene 1990). This leads to questions about how to search for an error optimization criterion that yields the best possible likelihood score. For example, suppose </w:t>
      </w:r>
      <w:r w:rsidRPr="009F2415">
        <w:sym w:font="Symbol" w:char="F065"/>
      </w:r>
      <w:r w:rsidRPr="009F2415">
        <w:rPr>
          <w:vertAlign w:val="subscript"/>
        </w:rPr>
        <w:t>i</w:t>
      </w:r>
      <w:r w:rsidRPr="009F2415">
        <w:t xml:space="preserve"> denotes observation errors and the model-fitting criterion is to minimize </w:t>
      </w:r>
      <w:r w:rsidRPr="009F2415">
        <w:sym w:font="Symbol" w:char="F053"/>
      </w:r>
      <w:r w:rsidRPr="009F2415">
        <w:rPr>
          <w:vertAlign w:val="subscript"/>
        </w:rPr>
        <w:t>i</w:t>
      </w:r>
      <w:r w:rsidRPr="009F2415">
        <w:t>|</w:t>
      </w:r>
      <w:r w:rsidRPr="009F2415">
        <w:sym w:font="Symbol" w:char="F065"/>
      </w:r>
      <w:r w:rsidRPr="009F2415">
        <w:rPr>
          <w:vertAlign w:val="subscript"/>
        </w:rPr>
        <w:t>i</w:t>
      </w:r>
      <w:r w:rsidRPr="009F2415">
        <w:t>|</w:t>
      </w:r>
      <w:r w:rsidRPr="009F2415">
        <w:rPr>
          <w:vertAlign w:val="superscript"/>
        </w:rPr>
        <w:t>p</w:t>
      </w:r>
      <w:r w:rsidRPr="009F2415">
        <w:t xml:space="preserve">.  Then for what value of p and distributional assumption on the </w:t>
      </w:r>
      <w:r w:rsidRPr="009F2415">
        <w:sym w:font="Symbol" w:char="F065"/>
      </w:r>
      <w:r w:rsidRPr="009F2415">
        <w:rPr>
          <w:vertAlign w:val="subscript"/>
        </w:rPr>
        <w:t>i</w:t>
      </w:r>
      <w:r w:rsidRPr="009F2415">
        <w:t xml:space="preserve"> does this minimization yield a maximum likelihood solution? Additional likelihood problems arise in composed error models (Ritter and Léopold 1997, Troutt, Hu and Shanker 2005). For the MPI model a different approach to validation has been proposed and is discussed next.</w:t>
      </w:r>
    </w:p>
    <w:p w:rsidR="00BB595B" w:rsidRPr="009F2415" w:rsidRDefault="00BB595B" w:rsidP="00BB595B">
      <w:pPr>
        <w:spacing w:line="480" w:lineRule="exact"/>
        <w:ind w:firstLine="720"/>
      </w:pPr>
      <w:r w:rsidRPr="009F2415">
        <w:t>The Target-Mode Agreement (TMA) Criterion has been proposed for testing the plausibility of estimated frontier models like that obtained here using the MPI estimation approach.   We follow the method used in Troutt, Pang and Hou (2006). TMA is based on using the analogy of unbiased normal performance in attempts at a bull’s-eye target. The process of firing a rifle at a bull’s-eye target is used as the basic benchmark for effective performance attempts in general, and specifically in this case for firm performance within an industry.</w:t>
      </w:r>
      <w:r w:rsidRPr="009F2415">
        <w:rPr>
          <w:rStyle w:val="FootnoteReference"/>
        </w:rPr>
        <w:footnoteReference w:id="1"/>
      </w:r>
      <w:r w:rsidRPr="009F2415">
        <w:t xml:space="preserve"> By this benchmark such attempts are considered to be effective if they are normally distributed and have bullet-strike points that are unbiased in the sense </w:t>
      </w:r>
      <w:r w:rsidRPr="009F2415">
        <w:lastRenderedPageBreak/>
        <w:t>of having their centroid coincident with the bull’s-eye target. Accuracy can be reflected by unbiasedness and precision by smallness of variance. However, better performance can also be reflected by higher concentration of the density at the target. This might be described as having greater “modal intensity” or peakedness of the pdf at the mode than does the normal pdf. The TMA criterion seeks to operationalize these considerations and adapt them to cases in which the target or ideal performance result is described other than by a point target or when the target can only be approached from constrained directions.</w:t>
      </w:r>
    </w:p>
    <w:p w:rsidR="00BB595B" w:rsidRPr="009F2415" w:rsidRDefault="00BB595B" w:rsidP="00BB595B">
      <w:pPr>
        <w:spacing w:line="480" w:lineRule="exact"/>
        <w:ind w:firstLine="720"/>
        <w:rPr>
          <w:b/>
        </w:rPr>
      </w:pPr>
      <w:r w:rsidRPr="009F2415">
        <w:t>In this application the target is the frontier model (6) and the goal of a firm is to achieve a small distance from the frontier and hence a small inefficiency score.  Thus if the estimated model (6) is plausible then ideal firm achievement requires being located on the line (6) rather than achieving a point or bull’s-eye target of performance.  The distance of a given firm from the ideal performance target can be computed. The TMA criterion seeks to indicate whether these distances are as good as or better than unbiased normal performance concentrated on a bull’s-eye target in the space of appropriate dimension and thus provide evidence that the MPI fits the data.</w:t>
      </w:r>
    </w:p>
    <w:p w:rsidR="00BB595B" w:rsidRPr="009F2415" w:rsidRDefault="00BB595B" w:rsidP="00BB595B">
      <w:pPr>
        <w:spacing w:line="480" w:lineRule="exact"/>
        <w:ind w:firstLine="720"/>
      </w:pPr>
      <w:r w:rsidRPr="009F2415">
        <w:t>Let g(</w:t>
      </w:r>
      <w:r w:rsidRPr="009F2415">
        <w:sym w:font="Symbol" w:char="F064"/>
      </w:r>
      <w:r w:rsidRPr="009F2415">
        <w:t xml:space="preserve">; </w:t>
      </w:r>
      <w:r w:rsidRPr="009F2415">
        <w:sym w:font="Symbol" w:char="F061"/>
      </w:r>
      <w:r w:rsidRPr="009F2415">
        <w:t xml:space="preserve">, </w:t>
      </w:r>
      <w:r w:rsidRPr="009F2415">
        <w:sym w:font="Symbol" w:char="F062"/>
      </w:r>
      <w:r w:rsidRPr="009F2415">
        <w:t xml:space="preserve">) be the gamma pdf with shape parameter </w:t>
      </w:r>
      <w:r w:rsidRPr="009F2415">
        <w:sym w:font="Symbol" w:char="F061"/>
      </w:r>
      <w:r w:rsidRPr="009F2415">
        <w:t xml:space="preserve"> and scale parameter </w:t>
      </w:r>
      <w:r w:rsidRPr="009F2415">
        <w:sym w:font="Symbol" w:char="F062"/>
      </w:r>
      <w:r w:rsidRPr="009F2415">
        <w:t xml:space="preserve">. Let </w:t>
      </w:r>
      <w:r w:rsidRPr="009F2415">
        <w:sym w:font="Symbol" w:char="F06B"/>
      </w:r>
      <w:r w:rsidRPr="009F2415">
        <w:t xml:space="preserve"> be the dimension of the performance vector. In the present case </w:t>
      </w:r>
      <w:r w:rsidRPr="009F2415">
        <w:sym w:font="Symbol" w:char="F064"/>
      </w:r>
      <w:r w:rsidRPr="009F2415">
        <w:rPr>
          <w:vertAlign w:val="superscript"/>
        </w:rPr>
        <w:t>lin</w:t>
      </w:r>
      <w:r w:rsidRPr="009F2415">
        <w:rPr>
          <w:vertAlign w:val="subscript"/>
        </w:rPr>
        <w:t xml:space="preserve">i </w:t>
      </w:r>
      <w:r w:rsidRPr="009F2415">
        <w:t xml:space="preserve">(and </w:t>
      </w:r>
      <w:r w:rsidRPr="009F2415">
        <w:sym w:font="Symbol" w:char="F064"/>
      </w:r>
      <w:r w:rsidRPr="009F2415">
        <w:rPr>
          <w:vertAlign w:val="superscript"/>
        </w:rPr>
        <w:t>rlin</w:t>
      </w:r>
      <w:r w:rsidRPr="009F2415">
        <w:rPr>
          <w:vertAlign w:val="subscript"/>
        </w:rPr>
        <w:t xml:space="preserve">i </w:t>
      </w:r>
      <w:r w:rsidRPr="009F2415">
        <w:t xml:space="preserve">if used) are scalar quantities so that </w:t>
      </w:r>
      <w:r w:rsidRPr="009F2415">
        <w:sym w:font="Symbol" w:char="F06B"/>
      </w:r>
      <w:r w:rsidRPr="009F2415">
        <w:t xml:space="preserve"> = 1. Then a sufficient condition for the TMA criterion to hold is that: </w:t>
      </w:r>
    </w:p>
    <w:p w:rsidR="00BB595B" w:rsidRPr="009F2415" w:rsidRDefault="00BB595B" w:rsidP="00BB595B">
      <w:pPr>
        <w:spacing w:line="480" w:lineRule="exact"/>
        <w:ind w:firstLine="720"/>
      </w:pPr>
      <w:r w:rsidRPr="009F2415">
        <w:lastRenderedPageBreak/>
        <w:tab/>
      </w:r>
      <w:r w:rsidRPr="009F2415">
        <w:tab/>
      </w:r>
      <w:r w:rsidRPr="009F2415">
        <w:tab/>
      </w:r>
      <w:r w:rsidRPr="009F2415">
        <w:tab/>
      </w:r>
      <w:r w:rsidRPr="009F2415">
        <w:sym w:font="Symbol" w:char="F061"/>
      </w:r>
      <w:r w:rsidRPr="009F2415">
        <w:sym w:font="Symbol" w:char="F0A3"/>
      </w:r>
      <w:r w:rsidRPr="00E84562">
        <w:sym w:font="Symbol" w:char="F06B"/>
      </w:r>
      <w:r w:rsidRPr="009F2415">
        <w:t>/</w:t>
      </w:r>
      <w:r w:rsidRPr="00E84562">
        <w:t>2</w:t>
      </w:r>
      <w:r w:rsidRPr="009F2415">
        <w:t xml:space="preserve">. </w:t>
      </w:r>
      <w:r w:rsidRPr="009F2415">
        <w:tab/>
      </w:r>
      <w:r w:rsidRPr="009F2415">
        <w:tab/>
        <w:t xml:space="preserve"> (8)</w:t>
      </w:r>
    </w:p>
    <w:p w:rsidR="00BB595B" w:rsidRPr="009F2415" w:rsidRDefault="00BB595B" w:rsidP="00BB595B">
      <w:pPr>
        <w:spacing w:line="480" w:lineRule="exact"/>
        <w:ind w:firstLine="720"/>
      </w:pPr>
      <w:r w:rsidRPr="009F2415">
        <w:t xml:space="preserve">The interpretation is that the distribution of the decision vectors has a concentration on the target optimal solution, </w:t>
      </w:r>
      <w:r w:rsidRPr="009F2415">
        <w:rPr>
          <w:b/>
        </w:rPr>
        <w:t>x</w:t>
      </w:r>
      <w:r w:rsidRPr="009F2415">
        <w:t xml:space="preserve">*, that is as good as, or better than, an unbiased multivariate normal distribution of trials aimed at a bull’s-eye target. In effect, the mode of the empirical distribution of attempts coincides with the ideal target of </w:t>
      </w:r>
      <w:r w:rsidRPr="009F2415">
        <w:rPr>
          <w:b/>
        </w:rPr>
        <w:t>x</w:t>
      </w:r>
      <w:r w:rsidRPr="009F2415">
        <w:t xml:space="preserve">*.  This is a requirement similar to unbiasedness but applied to the mode rather than to the centroid.  However, this would not ordinarily imply mean or centroid-unbiasedness.  For example, in our present case all inefficiency values can only be nonnegative. The derivation of (8) is given for the gamma and Weibull pdfs in Appendix B. In the case of the gamma distribution assumption the Method of Moments estimate of </w:t>
      </w:r>
      <w:r w:rsidRPr="009F2415">
        <w:sym w:font="Symbol" w:char="F061"/>
      </w:r>
      <w:r w:rsidRPr="009F2415">
        <w:t xml:space="preserve"> is given by</w:t>
      </w:r>
    </w:p>
    <w:p w:rsidR="00BB595B" w:rsidRPr="009F2415" w:rsidRDefault="00BB595B" w:rsidP="00BB595B">
      <w:pPr>
        <w:spacing w:line="480" w:lineRule="exact"/>
        <w:ind w:firstLine="720"/>
      </w:pPr>
      <w:r w:rsidRPr="009F2415">
        <w:tab/>
      </w:r>
      <w:r w:rsidRPr="009F2415">
        <w:tab/>
      </w:r>
      <w:r w:rsidRPr="009F2415">
        <w:tab/>
      </w:r>
      <w:r w:rsidRPr="009F2415">
        <w:tab/>
      </w:r>
      <w:r w:rsidRPr="009F2415">
        <w:tab/>
      </w:r>
      <w:r w:rsidRPr="009F2415">
        <w:rPr>
          <w:position w:val="-2"/>
        </w:rPr>
        <w:object w:dxaOrig="20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1.25pt" o:ole="">
            <v:imagedata r:id="rId12" o:title=""/>
          </v:shape>
          <o:OLEObject Type="Embed" ProgID="Equation.3" ShapeID="_x0000_i1025" DrawAspect="Content" ObjectID="_1573985600" r:id="rId13"/>
        </w:object>
      </w:r>
      <w:r w:rsidRPr="009F2415">
        <w:t xml:space="preserve"> = </w:t>
      </w:r>
      <w:r w:rsidRPr="009F2415">
        <w:rPr>
          <w:position w:val="-2"/>
        </w:rPr>
        <w:object w:dxaOrig="200" w:dyaOrig="260">
          <v:shape id="_x0000_i1026" type="#_x0000_t75" style="width:9.75pt;height:12.75pt" o:ole="">
            <v:imagedata r:id="rId14" o:title=""/>
          </v:shape>
          <o:OLEObject Type="Embed" ProgID="Equation.3" ShapeID="_x0000_i1026" DrawAspect="Content" ObjectID="_1573985601" r:id="rId15"/>
        </w:object>
      </w:r>
      <w:r w:rsidRPr="009F2415">
        <w:rPr>
          <w:vertAlign w:val="superscript"/>
        </w:rPr>
        <w:t>2</w:t>
      </w:r>
      <w:r w:rsidRPr="009F2415">
        <w:t>/s</w:t>
      </w:r>
      <w:r w:rsidRPr="009F2415">
        <w:rPr>
          <w:vertAlign w:val="superscript"/>
        </w:rPr>
        <w:t xml:space="preserve">2                             </w:t>
      </w:r>
      <w:r w:rsidRPr="009F2415">
        <w:t xml:space="preserve">(9) </w:t>
      </w:r>
    </w:p>
    <w:p w:rsidR="00BB595B" w:rsidRPr="009F2415" w:rsidRDefault="00BB595B" w:rsidP="00BB595B">
      <w:pPr>
        <w:spacing w:line="480" w:lineRule="exact"/>
        <w:ind w:firstLine="720"/>
      </w:pPr>
      <w:r w:rsidRPr="009F2415">
        <w:t xml:space="preserve">where </w:t>
      </w:r>
      <w:r w:rsidRPr="009F2415">
        <w:rPr>
          <w:position w:val="-2"/>
        </w:rPr>
        <w:object w:dxaOrig="200" w:dyaOrig="260">
          <v:shape id="_x0000_i1027" type="#_x0000_t75" style="width:9.75pt;height:12.75pt" o:ole="">
            <v:imagedata r:id="rId16" o:title=""/>
          </v:shape>
          <o:OLEObject Type="Embed" ProgID="Equation.3" ShapeID="_x0000_i1027" DrawAspect="Content" ObjectID="_1573985602" r:id="rId17"/>
        </w:object>
      </w:r>
      <w:r w:rsidRPr="009F2415">
        <w:t xml:space="preserve"> and s</w:t>
      </w:r>
      <w:r w:rsidRPr="009F2415">
        <w:rPr>
          <w:vertAlign w:val="superscript"/>
        </w:rPr>
        <w:t xml:space="preserve">2 </w:t>
      </w:r>
      <w:r w:rsidRPr="009F2415">
        <w:t xml:space="preserve">are the sample mean and variance, respectively, of the </w:t>
      </w:r>
      <w:r w:rsidRPr="009F2415">
        <w:sym w:font="Symbol" w:char="F064"/>
      </w:r>
      <w:r w:rsidRPr="009F2415">
        <w:rPr>
          <w:vertAlign w:val="subscript"/>
        </w:rPr>
        <w:t>j</w:t>
      </w:r>
      <w:r w:rsidRPr="009F2415">
        <w:t xml:space="preserve">-values. We propose to use </w:t>
      </w:r>
      <w:r w:rsidRPr="009F2415">
        <w:fldChar w:fldCharType="begin"/>
      </w:r>
      <w:r w:rsidRPr="009F2415">
        <w:instrText xml:space="preserve"> QUOTE </w:instrText>
      </w:r>
      <w:r w:rsidRPr="009F2415">
        <w:pict>
          <v:shape id="_x0000_i1031" type="#_x0000_t75" style="width:12pt;height:12.75pt">
            <v:imagedata r:id="rId18" o:title="" chromakey="white"/>
          </v:shape>
        </w:pict>
      </w:r>
      <w:r w:rsidRPr="009F2415">
        <w:instrText xml:space="preserve"> </w:instrText>
      </w:r>
      <w:r w:rsidRPr="009F2415">
        <w:fldChar w:fldCharType="separate"/>
      </w:r>
      <w:r w:rsidRPr="009F2415">
        <w:rPr>
          <w:position w:val="-2"/>
        </w:rPr>
        <w:object w:dxaOrig="200" w:dyaOrig="220">
          <v:shape id="_x0000_i1028" type="#_x0000_t75" style="width:9.75pt;height:11.25pt" o:ole="">
            <v:imagedata r:id="rId19" o:title=""/>
          </v:shape>
          <o:OLEObject Type="Embed" ProgID="Equation.3" ShapeID="_x0000_i1028" DrawAspect="Content" ObjectID="_1573985603" r:id="rId20"/>
        </w:object>
      </w:r>
      <w:r w:rsidRPr="009F2415">
        <w:fldChar w:fldCharType="end"/>
      </w:r>
      <w:r w:rsidRPr="009F2415">
        <w:t xml:space="preserve">  as a descriptive statistic that we call </w:t>
      </w:r>
      <w:r w:rsidRPr="009F2415">
        <w:rPr>
          <w:i/>
        </w:rPr>
        <w:sym w:font="Symbol" w:char="F061"/>
      </w:r>
      <w:r w:rsidRPr="009F2415">
        <w:rPr>
          <w:i/>
        </w:rPr>
        <w:t>-modal intensity</w:t>
      </w:r>
      <w:r w:rsidRPr="009F2415">
        <w:t>.</w:t>
      </w:r>
    </w:p>
    <w:p w:rsidR="00BB595B" w:rsidRPr="009F2415" w:rsidRDefault="00BB595B" w:rsidP="00BB595B">
      <w:pPr>
        <w:spacing w:line="480" w:lineRule="exact"/>
        <w:ind w:firstLine="720"/>
      </w:pPr>
      <w:r w:rsidRPr="009F2415">
        <w:t xml:space="preserve">The present normal-based sufficient condition for the TMA criterion presented here is a convenient and reasonably straightforward to test in many contexts. Troutt, Pang and Hou (2004) discuss weaker sufficient conditions based on mode concepts.  We also note the condition (8) along with the gamma or Weibull pdf for the </w:t>
      </w:r>
      <w:r w:rsidRPr="009F2415">
        <w:sym w:font="Symbol" w:char="F064"/>
      </w:r>
      <w:r w:rsidRPr="009F2415">
        <w:rPr>
          <w:vertAlign w:val="superscript"/>
        </w:rPr>
        <w:t>lin</w:t>
      </w:r>
      <w:r w:rsidRPr="009F2415">
        <w:rPr>
          <w:vertAlign w:val="subscript"/>
        </w:rPr>
        <w:t>i</w:t>
      </w:r>
      <w:r w:rsidRPr="009F2415">
        <w:t xml:space="preserve"> (and </w:t>
      </w:r>
      <w:r w:rsidRPr="009F2415">
        <w:sym w:font="Symbol" w:char="F064"/>
      </w:r>
      <w:r w:rsidRPr="009F2415">
        <w:rPr>
          <w:vertAlign w:val="superscript"/>
        </w:rPr>
        <w:t>rlin</w:t>
      </w:r>
      <w:r w:rsidRPr="009F2415">
        <w:rPr>
          <w:vertAlign w:val="subscript"/>
        </w:rPr>
        <w:t>i</w:t>
      </w:r>
      <w:r w:rsidRPr="009F2415">
        <w:t xml:space="preserve"> ) values can be regarded as very conservative.  For instance </w:t>
      </w:r>
      <w:r w:rsidRPr="009F2415">
        <w:lastRenderedPageBreak/>
        <w:t xml:space="preserve">suppose these inefficiency measures have the half-normal pdf (Johnson 1962). That is, </w:t>
      </w:r>
    </w:p>
    <w:p w:rsidR="00BB595B" w:rsidRPr="009F2415" w:rsidRDefault="00BB595B" w:rsidP="00BB595B">
      <w:pPr>
        <w:spacing w:line="480" w:lineRule="exact"/>
        <w:ind w:firstLine="720"/>
      </w:pPr>
      <w:r w:rsidRPr="009F2415">
        <w:t xml:space="preserve"> f(</w:t>
      </w:r>
      <w:r w:rsidRPr="009F2415">
        <w:sym w:font="Symbol" w:char="F064"/>
      </w:r>
      <w:r w:rsidRPr="009F2415">
        <w:t>) = 2(2</w:t>
      </w:r>
      <w:r w:rsidRPr="009F2415">
        <w:sym w:font="Symbol" w:char="F070"/>
      </w:r>
      <w:r w:rsidRPr="009F2415">
        <w:t>)</w:t>
      </w:r>
      <w:r w:rsidRPr="009F2415">
        <w:rPr>
          <w:vertAlign w:val="superscript"/>
        </w:rPr>
        <w:t>–½</w:t>
      </w:r>
      <w:r w:rsidRPr="009F2415">
        <w:sym w:font="Symbol" w:char="F073"/>
      </w:r>
      <w:r w:rsidRPr="009F2415">
        <w:rPr>
          <w:vertAlign w:val="superscript"/>
        </w:rPr>
        <w:t>–1</w:t>
      </w:r>
      <w:r w:rsidRPr="009F2415">
        <w:rPr>
          <w:i/>
        </w:rPr>
        <w:t>exp</w:t>
      </w:r>
      <w:r w:rsidRPr="009F2415">
        <w:t>(–</w:t>
      </w:r>
      <w:r w:rsidRPr="009F2415">
        <w:sym w:font="Symbol" w:char="F064"/>
      </w:r>
      <w:r w:rsidRPr="009F2415">
        <w:rPr>
          <w:vertAlign w:val="superscript"/>
        </w:rPr>
        <w:t>2</w:t>
      </w:r>
      <w:r w:rsidRPr="009F2415">
        <w:t>/2</w:t>
      </w:r>
      <w:r w:rsidRPr="009F2415">
        <w:sym w:font="Symbol" w:char="F073"/>
      </w:r>
      <w:r w:rsidRPr="009F2415">
        <w:rPr>
          <w:vertAlign w:val="superscript"/>
        </w:rPr>
        <w:t>2</w:t>
      </w:r>
      <w:r w:rsidRPr="009F2415">
        <w:t xml:space="preserve">)  for </w:t>
      </w:r>
      <w:r w:rsidRPr="009F2415">
        <w:sym w:font="Symbol" w:char="F064"/>
      </w:r>
      <w:r w:rsidRPr="009F2415">
        <w:sym w:font="Symbol" w:char="F0B3"/>
      </w:r>
      <w:r w:rsidRPr="009F2415">
        <w:t xml:space="preserve"> 0.</w:t>
      </w:r>
    </w:p>
    <w:p w:rsidR="00BB595B" w:rsidRPr="009F2415" w:rsidRDefault="00BB595B" w:rsidP="00BB595B">
      <w:pPr>
        <w:spacing w:line="480" w:lineRule="exact"/>
        <w:ind w:firstLine="720"/>
      </w:pPr>
      <w:r w:rsidRPr="009F2415">
        <w:t>It can be verified for this pdf that E(</w:t>
      </w:r>
      <w:r w:rsidRPr="009F2415">
        <w:sym w:font="Symbol" w:char="F064"/>
      </w:r>
      <w:r w:rsidRPr="009F2415">
        <w:t xml:space="preserve">)=  </w:t>
      </w:r>
      <w:r w:rsidRPr="009F2415">
        <w:sym w:font="Symbol" w:char="F073"/>
      </w:r>
      <w:r w:rsidRPr="009F2415">
        <w:t>(2/</w:t>
      </w:r>
      <w:r w:rsidRPr="009F2415">
        <w:sym w:font="Symbol" w:char="F070"/>
      </w:r>
      <w:r w:rsidRPr="009F2415">
        <w:t>)</w:t>
      </w:r>
      <w:r w:rsidRPr="009F2415">
        <w:rPr>
          <w:vertAlign w:val="superscript"/>
        </w:rPr>
        <w:t>–½</w:t>
      </w:r>
      <w:r w:rsidRPr="009F2415">
        <w:t xml:space="preserve"> and Var(</w:t>
      </w:r>
      <w:r w:rsidRPr="009F2415">
        <w:sym w:font="Symbol" w:char="F064"/>
      </w:r>
      <w:r w:rsidRPr="009F2415">
        <w:t xml:space="preserve">) = </w:t>
      </w:r>
      <w:r w:rsidRPr="009F2415">
        <w:sym w:font="Symbol" w:char="F073"/>
      </w:r>
      <w:r w:rsidRPr="009F2415">
        <w:rPr>
          <w:vertAlign w:val="superscript"/>
        </w:rPr>
        <w:t>2</w:t>
      </w:r>
      <w:r w:rsidRPr="009F2415">
        <w:t>(1 – 2/</w:t>
      </w:r>
      <w:r w:rsidRPr="009F2415">
        <w:sym w:font="Symbol" w:char="F070"/>
      </w:r>
      <w:r w:rsidRPr="009F2415">
        <w:t>). Thus using population parameter values we obtain</w:t>
      </w:r>
    </w:p>
    <w:p w:rsidR="00BB595B" w:rsidRPr="009F2415" w:rsidRDefault="00BB595B" w:rsidP="00BB595B">
      <w:pPr>
        <w:spacing w:line="480" w:lineRule="exact"/>
        <w:ind w:firstLine="720"/>
      </w:pPr>
      <w:r w:rsidRPr="009F2415">
        <w:tab/>
      </w:r>
      <w:r w:rsidRPr="009F2415">
        <w:tab/>
      </w:r>
      <w:r w:rsidRPr="009F2415">
        <w:tab/>
      </w:r>
      <w:r w:rsidRPr="009F2415">
        <w:tab/>
      </w:r>
      <w:r w:rsidRPr="009F2415">
        <w:fldChar w:fldCharType="begin"/>
      </w:r>
      <w:r w:rsidRPr="009F2415">
        <w:instrText xml:space="preserve"> QUOTE </w:instrText>
      </w:r>
      <w:r w:rsidRPr="009F2415">
        <w:pict>
          <v:shape id="_x0000_i1032" type="#_x0000_t75" style="width:12pt;height:12.75pt">
            <v:imagedata r:id="rId18" o:title="" chromakey="white"/>
          </v:shape>
        </w:pict>
      </w:r>
      <w:r w:rsidRPr="009F2415">
        <w:instrText xml:space="preserve"> </w:instrText>
      </w:r>
      <w:r w:rsidRPr="009F2415">
        <w:fldChar w:fldCharType="separate"/>
      </w:r>
      <w:r w:rsidRPr="009F2415">
        <w:rPr>
          <w:position w:val="-2"/>
        </w:rPr>
        <w:object w:dxaOrig="200" w:dyaOrig="220">
          <v:shape id="_x0000_i1029" type="#_x0000_t75" style="width:9.75pt;height:11.25pt" o:ole="">
            <v:imagedata r:id="rId21" o:title=""/>
          </v:shape>
          <o:OLEObject Type="Embed" ProgID="Equation.3" ShapeID="_x0000_i1029" DrawAspect="Content" ObjectID="_1573985604" r:id="rId22"/>
        </w:object>
      </w:r>
      <w:r w:rsidRPr="009F2415">
        <w:fldChar w:fldCharType="end"/>
      </w:r>
      <w:r w:rsidRPr="009F2415">
        <w:t xml:space="preserve"> = 2(</w:t>
      </w:r>
      <w:r w:rsidRPr="009F2415">
        <w:sym w:font="Symbol" w:char="F070"/>
      </w:r>
      <w:r w:rsidRPr="009F2415">
        <w:t xml:space="preserve"> – 2)</w:t>
      </w:r>
      <w:r w:rsidRPr="009F2415">
        <w:rPr>
          <w:vertAlign w:val="superscript"/>
        </w:rPr>
        <w:t>–1</w:t>
      </w:r>
      <w:r w:rsidRPr="009F2415">
        <w:sym w:font="Symbol" w:char="F040"/>
      </w:r>
      <w:r w:rsidRPr="009F2415">
        <w:t xml:space="preserve"> 1.75.</w:t>
      </w:r>
    </w:p>
    <w:p w:rsidR="00BB595B" w:rsidRPr="009F2415" w:rsidRDefault="00BB595B" w:rsidP="00BB595B">
      <w:pPr>
        <w:spacing w:line="480" w:lineRule="exact"/>
        <w:ind w:firstLine="720"/>
      </w:pPr>
      <w:r w:rsidRPr="009F2415">
        <w:t xml:space="preserve">While this value of </w:t>
      </w:r>
      <w:r w:rsidRPr="009F2415">
        <w:fldChar w:fldCharType="begin"/>
      </w:r>
      <w:r w:rsidRPr="009F2415">
        <w:instrText xml:space="preserve"> QUOTE </w:instrText>
      </w:r>
      <w:r w:rsidRPr="009F2415">
        <w:pict>
          <v:shape id="_x0000_i1033" type="#_x0000_t75" style="width:12pt;height:12.75pt">
            <v:imagedata r:id="rId18" o:title="" chromakey="white"/>
          </v:shape>
        </w:pict>
      </w:r>
      <w:r w:rsidRPr="009F2415">
        <w:instrText xml:space="preserve"> </w:instrText>
      </w:r>
      <w:r w:rsidRPr="009F2415">
        <w:fldChar w:fldCharType="separate"/>
      </w:r>
      <w:r w:rsidRPr="009F2415">
        <w:rPr>
          <w:position w:val="-2"/>
        </w:rPr>
        <w:object w:dxaOrig="200" w:dyaOrig="220">
          <v:shape id="_x0000_i1030" type="#_x0000_t75" style="width:9.75pt;height:11.25pt" o:ole="">
            <v:imagedata r:id="rId23" o:title=""/>
          </v:shape>
          <o:OLEObject Type="Embed" ProgID="Equation.3" ShapeID="_x0000_i1030" DrawAspect="Content" ObjectID="_1573985605" r:id="rId24"/>
        </w:object>
      </w:r>
      <w:r w:rsidRPr="009F2415">
        <w:fldChar w:fldCharType="end"/>
      </w:r>
      <w:r w:rsidRPr="009F2415">
        <w:t xml:space="preserve"> greatly exceeds that for the gamma, the half-normal pdf would be an excellent model for the </w:t>
      </w:r>
      <w:r w:rsidRPr="009F2415">
        <w:sym w:font="Symbol" w:char="F064"/>
      </w:r>
      <w:r w:rsidRPr="009F2415">
        <w:rPr>
          <w:vertAlign w:val="superscript"/>
        </w:rPr>
        <w:t>lin</w:t>
      </w:r>
      <w:r w:rsidRPr="009F2415">
        <w:rPr>
          <w:vertAlign w:val="subscript"/>
        </w:rPr>
        <w:t>i</w:t>
      </w:r>
      <w:r w:rsidRPr="009F2415">
        <w:t xml:space="preserve">and </w:t>
      </w:r>
      <w:r w:rsidRPr="009F2415">
        <w:sym w:font="Symbol" w:char="F064"/>
      </w:r>
      <w:r w:rsidRPr="009F2415">
        <w:rPr>
          <w:vertAlign w:val="superscript"/>
        </w:rPr>
        <w:t>rlin</w:t>
      </w:r>
      <w:r w:rsidRPr="009F2415">
        <w:rPr>
          <w:vertAlign w:val="subscript"/>
        </w:rPr>
        <w:t xml:space="preserve">i </w:t>
      </w:r>
      <w:r w:rsidRPr="009F2415">
        <w:t xml:space="preserve">values since the mode is zero. </w:t>
      </w:r>
    </w:p>
    <w:p w:rsidR="00BB595B" w:rsidRPr="009F2415" w:rsidRDefault="00BB595B" w:rsidP="00BB595B">
      <w:pPr>
        <w:spacing w:line="480" w:lineRule="exact"/>
      </w:pPr>
    </w:p>
    <w:p w:rsidR="00BB595B" w:rsidRPr="009F2415" w:rsidRDefault="00BB595B" w:rsidP="00E84562">
      <w:pPr>
        <w:spacing w:line="480" w:lineRule="exact"/>
        <w:rPr>
          <w:b/>
        </w:rPr>
      </w:pPr>
      <w:r w:rsidRPr="009F2415">
        <w:rPr>
          <w:b/>
        </w:rPr>
        <w:t>Empirical illustration</w:t>
      </w:r>
    </w:p>
    <w:p w:rsidR="00BB595B" w:rsidRPr="009F2415" w:rsidRDefault="00BB595B" w:rsidP="00BB595B">
      <w:pPr>
        <w:spacing w:line="480" w:lineRule="exact"/>
        <w:ind w:firstLine="720"/>
      </w:pPr>
      <w:r w:rsidRPr="009F2415">
        <w:t>We now proceed to estimating arbitrage opportunities across industries. We illustrate our approach using the data from the years 1999 through 2003 for 26 industries. The data were obtained from Compustat and include 10,650 firm-year observations for which there were no missing values for inputs and outputs. Following existing literature (see, e.g., Färe et al. (1998)), we utilized labor and capital as inputs while sales were used as the output</w:t>
      </w:r>
      <w:r w:rsidRPr="009F2415">
        <w:rPr>
          <w:rStyle w:val="FootnoteReference"/>
        </w:rPr>
        <w:footnoteReference w:id="2"/>
      </w:r>
      <w:r w:rsidRPr="009F2415">
        <w:t>. The numbers were adjusted for inflation based on annual CPI indices as reported by the Bureau of Labor St</w:t>
      </w:r>
      <w:r w:rsidRPr="009F2415">
        <w:t>a</w:t>
      </w:r>
      <w:r w:rsidRPr="009F2415">
        <w:t>tistics.</w:t>
      </w:r>
    </w:p>
    <w:p w:rsidR="00BB595B" w:rsidRPr="009F2415" w:rsidRDefault="00BB595B" w:rsidP="00BB595B">
      <w:pPr>
        <w:spacing w:line="480" w:lineRule="exact"/>
        <w:ind w:firstLine="720"/>
      </w:pPr>
      <w:r w:rsidRPr="009F2415">
        <w:t xml:space="preserve">The mathematical programming models were solved using Frontline Systems’ Premium Solver for Microsoft Excel. We followed a two-step procedure to estimate potential </w:t>
      </w:r>
      <w:r w:rsidRPr="009F2415">
        <w:lastRenderedPageBreak/>
        <w:t xml:space="preserve">arbitrage opportunities. Our analysis was carried out the same way for each of the twenty-six industries. First, we estimated the intertemporal frontier for each industry to determine the gradient to be used in further analyses. Data for all firms in the industry and all five years of observation were combined.  Then MPI analysis was applied to find the frontier function for that industry over the entire history available using the models explained above. We retained the gradient of this function, namely the coefficient vector </w:t>
      </w:r>
      <w:r w:rsidRPr="009F2415">
        <w:rPr>
          <w:b/>
        </w:rPr>
        <w:t>v</w:t>
      </w:r>
      <w:r w:rsidRPr="009F2415">
        <w:t xml:space="preserve">* in (4), for further steps. Second, for each of the industries we estimated the sequential frontier for each of the years using the slope determined in the first step to assess average inefficiencies of the industry firms. Using gradient vector the gradient vector </w:t>
      </w:r>
      <w:r w:rsidRPr="009F2415">
        <w:rPr>
          <w:b/>
        </w:rPr>
        <w:t>v</w:t>
      </w:r>
      <w:r w:rsidRPr="009F2415">
        <w:t xml:space="preserve">* we determined the frontier function for each of the nested sets of years 1 – 4, 1 – 3, 1 – 2, and year 1. The resulting frontier functions for these nested sets of years were parallel and lower as more recent years were added.  By dividing the inefficiencies by lowest inefficiency in the set 1 – 4 we obtained the frontier function for that set, which had the same gradient </w:t>
      </w:r>
      <w:r w:rsidRPr="009F2415">
        <w:rPr>
          <w:b/>
        </w:rPr>
        <w:t>v</w:t>
      </w:r>
      <w:r w:rsidRPr="009F2415">
        <w:t xml:space="preserve">*, and so on for the other nested sets. Thus, we were able to gauge the amount of </w:t>
      </w:r>
      <w:r>
        <w:t xml:space="preserve">technological </w:t>
      </w:r>
      <w:r w:rsidRPr="009F2415">
        <w:t xml:space="preserve">arbitrage opportunity available for exploitation to industry firms. Finally, we averaged arbitrage opportunity estimates for the firms for each nested set such that the trend of these averages over time could be studied. We report both annual and five-year average estimates of arbitrage opportunities in each of our industries (see Table 1). </w:t>
      </w:r>
      <w:r>
        <w:t>It</w:t>
      </w:r>
      <w:r w:rsidRPr="009F2415">
        <w:t xml:space="preserve"> </w:t>
      </w:r>
      <w:r w:rsidRPr="009F2415">
        <w:lastRenderedPageBreak/>
        <w:t>is plausible that some industries may contain extremely inefficient outliers that demonstrate remarkably high inefficiencies (e.g., young firms that have not yet established sustainable sales or firms near bankruptcy). As such they could artificially inflate average industry inefficiency. We therefore calculated three sets of conservative estimates bounded by three, two, and one standard deviations above the mean. As can be seen, while conservative estimates are naturally lower than the ‘raw’ ones, the overall picture remains remarkably consistent. We report five-year averages of those conservative estimates in Table 1 as well and illustrate our results in Figure 2. We also evaluated how adequately the MPI frontier fits the data by calculating the target-mode agreement criterion for each of the industries as explained above. With the only exception of the utilities industry, the MPI produced industry frontiers that fit the data well (see Table 1 for more details).</w:t>
      </w:r>
    </w:p>
    <w:p w:rsidR="00BB595B" w:rsidRPr="009F2415" w:rsidRDefault="00BB595B" w:rsidP="00BB595B">
      <w:pPr>
        <w:spacing w:line="480" w:lineRule="exact"/>
        <w:ind w:firstLine="720"/>
      </w:pPr>
    </w:p>
    <w:p w:rsidR="00BB595B" w:rsidRPr="009F2415" w:rsidRDefault="00BB595B" w:rsidP="00BB595B">
      <w:pPr>
        <w:spacing w:line="480" w:lineRule="exact"/>
        <w:jc w:val="center"/>
      </w:pPr>
      <w:r w:rsidRPr="009F2415">
        <w:t>---------------------------- Insert Table 1 here ----------------------------</w:t>
      </w:r>
    </w:p>
    <w:p w:rsidR="00BB595B" w:rsidRPr="009F2415" w:rsidRDefault="00BB595B" w:rsidP="00E84562">
      <w:pPr>
        <w:spacing w:line="480" w:lineRule="exact"/>
        <w:jc w:val="center"/>
      </w:pPr>
      <w:r w:rsidRPr="009F2415">
        <w:t>---------------------------- Insert Figure 2 here ----------------------------</w:t>
      </w:r>
    </w:p>
    <w:p w:rsidR="00BB595B" w:rsidRDefault="00BB595B" w:rsidP="00BB595B">
      <w:pPr>
        <w:spacing w:line="480" w:lineRule="exact"/>
        <w:jc w:val="center"/>
      </w:pPr>
    </w:p>
    <w:p w:rsidR="00BB595B" w:rsidRPr="009F2415" w:rsidRDefault="00BB595B" w:rsidP="00E84562">
      <w:pPr>
        <w:spacing w:line="480" w:lineRule="exact"/>
        <w:rPr>
          <w:b/>
        </w:rPr>
      </w:pPr>
      <w:r w:rsidRPr="009F2415">
        <w:rPr>
          <w:b/>
        </w:rPr>
        <w:t>Discussion and Suggestions for Future Research</w:t>
      </w:r>
    </w:p>
    <w:p w:rsidR="00BB595B" w:rsidRPr="009F2415" w:rsidRDefault="00BB595B" w:rsidP="00BB595B">
      <w:pPr>
        <w:spacing w:line="480" w:lineRule="exact"/>
        <w:ind w:firstLine="720"/>
      </w:pPr>
      <w:r w:rsidRPr="009F2415">
        <w:t xml:space="preserve">In this paper we demonstrate how an efficient frontier estimation method may be utilized to operationalize </w:t>
      </w:r>
      <w:r>
        <w:t xml:space="preserve">technological </w:t>
      </w:r>
      <w:r w:rsidRPr="009F2415">
        <w:t xml:space="preserve">arbitrage opportunities in industry contexts </w:t>
      </w:r>
      <w:r w:rsidRPr="009F2415">
        <w:lastRenderedPageBreak/>
        <w:t>that – although conceptually critical to entrepreneurship research – to date have remained effectively unaddressed empirically. We suggest a technique that is particularly well-suited for making substantive inferences about arbitrage opportunities at the industry level, and develop a comprehensive approach to taking temporal effects into account that incorporates major insights from the extant operations and economics literatures. As a result we are able to provide the estimates of interindustry differences in arbitrage opportunities that could be employed in concert with the previously established estimates of industry technological (innovative) opportunities and appropriability regime (Levin et al. 1987, Klevorick et al. 1995). We believe that making the estimates of arbitrage opportunities in different industries available to researchers may stimulate further developments in the field of entrepreneurship and provide a useful basis for comparison to other measures that may be proposed.</w:t>
      </w:r>
    </w:p>
    <w:p w:rsidR="00BB595B" w:rsidRPr="009F2415" w:rsidRDefault="00BB595B" w:rsidP="00BB595B">
      <w:pPr>
        <w:spacing w:line="480" w:lineRule="exact"/>
        <w:ind w:firstLine="720"/>
      </w:pPr>
      <w:r w:rsidRPr="009F2415">
        <w:t xml:space="preserve">We believe our calculations enable us to make some interesting comments. First and foremost, there is substantial amount of arbitrage opportunity available in industries for exploitation: the mean of our estimates is 7.81 with the standard deviation of 7.05. This serves to show that there could be plenty of trivial (Alvarez and Barney 2004) ways for most firms in most industries to optimize (Eckhardt and Shane 2003) and improve their efficiency without engaging in uncertain and unpredictable innovation. As such, understanding interindustry differences in the levels of arbitrage opportunities is important. </w:t>
      </w:r>
    </w:p>
    <w:p w:rsidR="00BB595B" w:rsidRPr="009F2415" w:rsidRDefault="00BB595B" w:rsidP="00BB595B">
      <w:pPr>
        <w:spacing w:line="480" w:lineRule="exact"/>
        <w:ind w:firstLine="720"/>
      </w:pPr>
      <w:r w:rsidRPr="009F2415">
        <w:lastRenderedPageBreak/>
        <w:t xml:space="preserve">Another interesting observation is that not only is the level of arbitrage opportunities generally high, but also there is substantial interindustry variance, which calls for further attention to the optimal strategies available to firms in different industries depending on the relative abundance of profitable ways to imitate. Our estimates of five-year average arbitrage opportunities vary from a low of 1.50 for automobile and truck manufacturing to a high of 28.38 for pharmaceutical industry. Although these are obviously extremes, the immediate implication is that some industries encourage imitation while others leave few opportunities for their firms to profit from mimicry and make innovation the most promising way to generate above-average returns. Importantly, our analysis does not suggest that industries with high arbitrage opportunities are unlikely to exhibit high innovation. On the contrary, intensive innovation by the industry leaders may be the reason why other firms fall behind such that arbitrage opportunities accumulate in the industry. In this sense, innovation and arbitrage </w:t>
      </w:r>
      <w:r>
        <w:t xml:space="preserve">may </w:t>
      </w:r>
      <w:r w:rsidRPr="009F2415">
        <w:t xml:space="preserve">often go hand in hand. In addition, whether or not imitation is a viable option for less effective firms depends on many other factors. For instance, we believe that the availability of </w:t>
      </w:r>
      <w:r>
        <w:t xml:space="preserve">technological </w:t>
      </w:r>
      <w:r w:rsidRPr="009F2415">
        <w:t xml:space="preserve">arbitrage opportunities may reflect to a significant extent the strength of the appropriability regime in the industry. In other words, not all arbitrage opportunities may be immediately available for exploitation. Future research should explore this issue specifically. </w:t>
      </w:r>
    </w:p>
    <w:p w:rsidR="00BB595B" w:rsidRPr="009F2415" w:rsidRDefault="00BB595B" w:rsidP="00BB595B">
      <w:pPr>
        <w:spacing w:line="480" w:lineRule="exact"/>
        <w:ind w:firstLine="720"/>
      </w:pPr>
      <w:r w:rsidRPr="009F2415">
        <w:lastRenderedPageBreak/>
        <w:t xml:space="preserve">Although our results suggest notable variance in the amount of arbitrage opportunities across industries, our estimates exhibit strong face validity. For example, the estimate for the pharmaceutical industry – 28.38 – suggests that industry leaders are </w:t>
      </w:r>
      <w:r>
        <w:t>immensely</w:t>
      </w:r>
      <w:r w:rsidRPr="009F2415">
        <w:t xml:space="preserve"> more effective than typical firms in converting their resources into sales. While this number is certainly high, it is well known that the pharmaceutical industry awards extraordinary profits to the handful of its most successful companies: the so-called deadweight loss on pharmaceutical patents – benefits enjoyed by the industry leaders that are protected from imitation – is estimated at over $400 billion per year and it is reported that for patented drugs marginal costs of production may be in the range of 3 to 4% (Outterson 2005). In fact, differential pricing for drugs such as Ciproflaxin suggests a profit margin of at least 264:1</w:t>
      </w:r>
      <w:r>
        <w:t>, which</w:t>
      </w:r>
      <w:r w:rsidRPr="009F2415">
        <w:t xml:space="preserve"> allows for profiting at rates higher than the illegal cocaine market and gives rise to the phenomenon known as pharmaceutical arbitrage (Outterson 2005). While the global nature of pharmaceutical arbitrage (i.e., diverting drugs from poor countries where they are sold at prices close to marginal costs to wealthier E.U. and U.S. markets) makes it less relevant to our study of interindustry differences in arbitrage opportunities, it does explain why the pharmaceutical industry has so much room for arbitrage. </w:t>
      </w:r>
    </w:p>
    <w:p w:rsidR="00BB595B" w:rsidRPr="009F2415" w:rsidRDefault="00BB595B" w:rsidP="00BB595B">
      <w:pPr>
        <w:spacing w:line="480" w:lineRule="exact"/>
        <w:ind w:firstLine="720"/>
      </w:pPr>
      <w:r w:rsidRPr="009F2415">
        <w:t xml:space="preserve">Similarly, the information services industry (average arbitrage opportunity estimate of 27.79) has firms like </w:t>
      </w:r>
      <w:r w:rsidRPr="009F2415">
        <w:lastRenderedPageBreak/>
        <w:t xml:space="preserve">Google that set the stage for the would-be imitators. Secrecy and patents are likely to result in the intellectual property arbitrage – both within the industry and in the global arena (Samuelson 2004). Software publishers industry (with its third-highest five-year arbitrage opportunity average of 15.65) deals with the so-called digital goods that are expensive to produce for the first copy and inexpensive to reproduce and distribute for subsequent copies (very low, approaching zero, variable costs) (Gopal and Sanders 2000). Thus, our results are in line with what conventional wisdom would suggest. </w:t>
      </w:r>
    </w:p>
    <w:p w:rsidR="00BB595B" w:rsidRPr="009F2415" w:rsidRDefault="00BB595B" w:rsidP="00BB595B">
      <w:pPr>
        <w:spacing w:line="480" w:lineRule="exact"/>
        <w:ind w:firstLine="720"/>
      </w:pPr>
      <w:r w:rsidRPr="009F2415">
        <w:t>Several avenues for future research appear promising.  For instance, we believe it may be fruitful to study the importance of different industry characteristics such as the concentration ratio to better understand the nature and variance of arbitrage opportunities across industries. It is quite plausible that extremely large firms may benefit from their bargaining power so as to obtain lower prices on its inputs or demand higher prices on its outputs. Alternatively, they may benefit from economies of scale and scope not available to their smaller counterparts. As such, our assumption about the similar constraints faced by most firms in most industries may be incorrect</w:t>
      </w:r>
      <w:r>
        <w:t>, although the target mode agreement criterion suggests that our premises hold</w:t>
      </w:r>
      <w:r w:rsidRPr="009F2415">
        <w:t xml:space="preserve">. </w:t>
      </w:r>
      <w:r>
        <w:t>If that were the case, however, it</w:t>
      </w:r>
      <w:r w:rsidRPr="009F2415">
        <w:t xml:space="preserve"> may </w:t>
      </w:r>
      <w:r>
        <w:t xml:space="preserve">have </w:t>
      </w:r>
      <w:r w:rsidRPr="009F2415">
        <w:t>necessitate</w:t>
      </w:r>
      <w:r>
        <w:t>d</w:t>
      </w:r>
      <w:r w:rsidRPr="009F2415">
        <w:t xml:space="preserve"> considering different specification for the industry frontiers – such as piecewise frontiers utilized by data envelopment analysis. </w:t>
      </w:r>
      <w:r w:rsidRPr="009F2415">
        <w:lastRenderedPageBreak/>
        <w:t xml:space="preserve">At the very least, future studies looking at </w:t>
      </w:r>
      <w:r>
        <w:t xml:space="preserve">technological </w:t>
      </w:r>
      <w:r w:rsidRPr="009F2415">
        <w:t xml:space="preserve">arbitrage opportunities in cross-industry context are advised to take industry concentration into account. </w:t>
      </w:r>
    </w:p>
    <w:p w:rsidR="00BB595B" w:rsidRPr="009F2415" w:rsidRDefault="00BB595B" w:rsidP="00BB595B">
      <w:pPr>
        <w:spacing w:line="480" w:lineRule="exact"/>
        <w:ind w:firstLine="720"/>
      </w:pPr>
      <w:r w:rsidRPr="009F2415">
        <w:t xml:space="preserve">We also believe further attention is warranted for industries that exhibit limited room for arbitrage. In general, industries with low arbitrage opportunities should encourage their firms to engage in innovation rather than imitation to bring about drastic improvements in performance. For instance, for most auto manufacturers (arbitrage opportunities estimate of 1.50) room for profitable imitation is quite limited. Perhaps, this is one of the reasons why U.S. car manufacturers have major difficulties in turning their businesses around and have to invest heavily in innovation. </w:t>
      </w:r>
      <w:r>
        <w:t>Thus</w:t>
      </w:r>
      <w:r w:rsidRPr="009F2415">
        <w:t xml:space="preserve">, GM alone has spent over $1 billion for the development of hydrogen fuel cell vehicles in the last few years (General Motors 2009). To the Big Three, innovation and not ‘optimizing’ is the key to radical improvement. This is also the reason why their current attempts to restructure and optimize in light of the crisis are unlikely to bring long-term positive changes. Similarly, this is one of the reasons why U.S. airlines (average arbitrage opportunities for the air transportation industry is 2.06) have not made any profits on average throughout the industry history (Pilarski 2007): they simply cannot reshuffle their resources to do more with less without investing heavily in innovation. </w:t>
      </w:r>
    </w:p>
    <w:p w:rsidR="00BB595B" w:rsidRPr="009F2415" w:rsidRDefault="00BB595B" w:rsidP="00BB595B">
      <w:pPr>
        <w:spacing w:line="480" w:lineRule="exact"/>
        <w:ind w:firstLine="720"/>
      </w:pPr>
      <w:r w:rsidRPr="009F2415">
        <w:t xml:space="preserve">Another possibly fruitful extension of the current research is the exploration of within-industry distribution of arbitrage opportunities to see if industry firms converge </w:t>
      </w:r>
      <w:r w:rsidRPr="009F2415">
        <w:lastRenderedPageBreak/>
        <w:t>over time in terms of their efficiency thus moving closer to equilibrium (Kirzner 1973) or if disparity increases thus providing a picture more consistent with the Schumpeterian (1934) view of entrepreneurship and innovation. This is an area that would enable integration of the fundamental ideas in the entrepreneurship literature. The results reported in this paper suggest that there is a gradual move toward the equilibrium that is occasionally disturbed (perhaps, by breakthrough innovations that push the frontier further): As Figure 3 illustrates, despite the occasional ‘innovation outbreaks’, on average firm efficiency improves with time (i.e., inefficiency diminishes). Of course, longer panel is required to make such claim with certainty, and we leave this issue to the future research.</w:t>
      </w:r>
    </w:p>
    <w:p w:rsidR="00BB595B" w:rsidRPr="009F2415" w:rsidRDefault="00BB595B" w:rsidP="00BB595B">
      <w:pPr>
        <w:spacing w:line="480" w:lineRule="exact"/>
        <w:ind w:firstLine="720"/>
      </w:pPr>
    </w:p>
    <w:p w:rsidR="00BB595B" w:rsidRPr="009F2415" w:rsidRDefault="00BB595B" w:rsidP="00BB595B">
      <w:pPr>
        <w:spacing w:line="480" w:lineRule="exact"/>
        <w:jc w:val="center"/>
      </w:pPr>
      <w:r w:rsidRPr="009F2415">
        <w:t>---------------------------- Insert Figure 3 here ----------------------------</w:t>
      </w:r>
    </w:p>
    <w:p w:rsidR="00BB595B" w:rsidRPr="009F2415" w:rsidRDefault="00BB595B" w:rsidP="00BB595B">
      <w:pPr>
        <w:spacing w:line="480" w:lineRule="exact"/>
        <w:ind w:firstLine="720"/>
      </w:pPr>
    </w:p>
    <w:p w:rsidR="00BB595B" w:rsidRPr="009F2415" w:rsidRDefault="00BB595B" w:rsidP="00BB595B">
      <w:pPr>
        <w:spacing w:line="480" w:lineRule="exact"/>
        <w:ind w:firstLine="720"/>
      </w:pPr>
      <w:r w:rsidRPr="009F2415">
        <w:t xml:space="preserve">Our study should be considered in the light of its limitations that we believe future research should consider. For example, while we believe our approach to determining the slope of the frontier and the way we treat time series data is reasonable, future research may suggest better ways of taking the temporal dimension of arbitrage opportunities into account. Moreover, our measures of </w:t>
      </w:r>
      <w:r>
        <w:t xml:space="preserve">technological </w:t>
      </w:r>
      <w:r w:rsidRPr="009F2415">
        <w:t>arbitrage opportunities are conceptually related to the notion of total factor productivity. Prior literature has raised certain doubts as to the usefulness of the total factor productivity-</w:t>
      </w:r>
      <w:r w:rsidRPr="009F2415">
        <w:lastRenderedPageBreak/>
        <w:t>based estimates of technological opportunities (Klevorick et al. 1995). The same issue should be explored in more detail for arbitrage opportunities as well. To that end, we believe some caution should be taken. Our hope with this article is to demonstrate that entrepreneurship research may benefit from integrating the techniques advanced by the efficiency analysis literature. We believe that employing frontier-based estimates of efficiency to measure arbitrage opportunities may be an important step in that direction. As such, we hope to stimulate and encourage more research about this specific topic.</w:t>
      </w:r>
    </w:p>
    <w:p w:rsidR="00BB595B" w:rsidRPr="009F2415" w:rsidRDefault="00BB595B" w:rsidP="00BB595B">
      <w:pPr>
        <w:spacing w:line="360" w:lineRule="auto"/>
        <w:rPr>
          <w:b/>
        </w:rPr>
      </w:pPr>
      <w:r w:rsidRPr="000A0FA5">
        <w:rPr>
          <w:sz w:val="22"/>
        </w:rPr>
        <w:br w:type="page"/>
      </w:r>
      <w:r w:rsidRPr="009F2415">
        <w:rPr>
          <w:b/>
        </w:rPr>
        <w:lastRenderedPageBreak/>
        <w:t xml:space="preserve">References </w:t>
      </w:r>
    </w:p>
    <w:p w:rsidR="00BB595B" w:rsidRPr="009F2415" w:rsidRDefault="00BB595B" w:rsidP="00BB595B">
      <w:pPr>
        <w:spacing w:line="360" w:lineRule="auto"/>
      </w:pPr>
    </w:p>
    <w:p w:rsidR="00BB595B" w:rsidRPr="009F2415" w:rsidRDefault="00BB595B" w:rsidP="00BB595B">
      <w:pPr>
        <w:ind w:left="720" w:hanging="720"/>
        <w:rPr>
          <w:b/>
          <w:bCs/>
          <w:color w:val="000000"/>
        </w:rPr>
      </w:pPr>
      <w:r w:rsidRPr="009F2415">
        <w:rPr>
          <w:bCs/>
          <w:color w:val="000000"/>
        </w:rPr>
        <w:t xml:space="preserve">Aigner, D.J. and Chu, S.F. (1968).  On Estimating the Industry Production Function.  </w:t>
      </w:r>
      <w:r w:rsidRPr="009F2415">
        <w:rPr>
          <w:bCs/>
          <w:color w:val="000000"/>
          <w:u w:val="single"/>
        </w:rPr>
        <w:t>American Economic Review</w:t>
      </w:r>
      <w:r w:rsidRPr="009F2415">
        <w:rPr>
          <w:bCs/>
          <w:color w:val="000000"/>
        </w:rPr>
        <w:t>, 58: 826-839.</w:t>
      </w:r>
    </w:p>
    <w:p w:rsidR="00BB595B" w:rsidRPr="009F2415" w:rsidRDefault="00BB595B" w:rsidP="00BB595B">
      <w:pPr>
        <w:ind w:left="720" w:hanging="720"/>
        <w:rPr>
          <w:rStyle w:val="Strong"/>
          <w:b w:val="0"/>
          <w:color w:val="000000"/>
        </w:rPr>
      </w:pPr>
    </w:p>
    <w:p w:rsidR="00BB595B" w:rsidRPr="009F2415" w:rsidRDefault="00BB595B" w:rsidP="00BB595B">
      <w:pPr>
        <w:ind w:left="720" w:hanging="720"/>
        <w:rPr>
          <w:bCs/>
        </w:rPr>
      </w:pPr>
      <w:r w:rsidRPr="009F2415">
        <w:rPr>
          <w:bCs/>
        </w:rPr>
        <w:t xml:space="preserve">Aigner,D.J.,  Lovell, C.A.K.,  and Schmidt, P. (1977).  Formulation and Estimation of Stochastic Frontier Production Function Models.  </w:t>
      </w:r>
      <w:r w:rsidRPr="009F2415">
        <w:rPr>
          <w:bCs/>
          <w:u w:val="single"/>
        </w:rPr>
        <w:t>Journal of Econometrics</w:t>
      </w:r>
      <w:r w:rsidRPr="009F2415">
        <w:rPr>
          <w:bCs/>
        </w:rPr>
        <w:t>, 6: 21-37.</w:t>
      </w:r>
    </w:p>
    <w:p w:rsidR="00BB595B" w:rsidRPr="009F2415" w:rsidRDefault="00BB595B" w:rsidP="00BB595B">
      <w:pPr>
        <w:rPr>
          <w:lang w:val="en-GB"/>
        </w:rPr>
      </w:pPr>
    </w:p>
    <w:p w:rsidR="00BB595B" w:rsidRPr="009F2415" w:rsidRDefault="00BB595B" w:rsidP="00BB595B">
      <w:pPr>
        <w:ind w:left="720" w:hanging="720"/>
        <w:rPr>
          <w:rStyle w:val="Strong"/>
          <w:b w:val="0"/>
          <w:color w:val="000000"/>
        </w:rPr>
      </w:pPr>
      <w:r w:rsidRPr="009F2415">
        <w:rPr>
          <w:lang w:val="en-GB"/>
        </w:rPr>
        <w:t xml:space="preserve">Alvarez, S.  A., &amp; Barney, J. B. 2004. </w:t>
      </w:r>
      <w:r w:rsidRPr="009F2415">
        <w:t>Organizing rent generation and appropriation: Toward a th</w:t>
      </w:r>
      <w:r w:rsidRPr="009F2415">
        <w:t>e</w:t>
      </w:r>
      <w:r w:rsidRPr="009F2415">
        <w:t xml:space="preserve">ory of the entrepreneurial firm. </w:t>
      </w:r>
      <w:r w:rsidRPr="009F2415">
        <w:rPr>
          <w:u w:val="single"/>
        </w:rPr>
        <w:t>Journal of Business Venturing</w:t>
      </w:r>
      <w:r w:rsidRPr="009F2415">
        <w:t>, 19: 621-635.</w:t>
      </w:r>
    </w:p>
    <w:p w:rsidR="00BB595B" w:rsidRPr="009F2415" w:rsidRDefault="00BB595B" w:rsidP="00BB595B">
      <w:pPr>
        <w:rPr>
          <w:rStyle w:val="Strong"/>
          <w:b w:val="0"/>
          <w:color w:val="000000"/>
        </w:rPr>
      </w:pPr>
    </w:p>
    <w:p w:rsidR="00BB595B" w:rsidRDefault="00BB595B" w:rsidP="00BB595B">
      <w:pPr>
        <w:ind w:left="720" w:hanging="720"/>
        <w:rPr>
          <w:rStyle w:val="Strong"/>
          <w:b w:val="0"/>
          <w:color w:val="000000"/>
          <w:lang w:val="en-GB"/>
        </w:rPr>
      </w:pPr>
      <w:r w:rsidRPr="00130C14">
        <w:rPr>
          <w:rStyle w:val="Strong"/>
          <w:b w:val="0"/>
          <w:color w:val="000000"/>
          <w:lang w:val="sv-SE"/>
        </w:rPr>
        <w:t xml:space="preserve">Audretsch, D., Litan, R., &amp; Strom, R. 2009. </w:t>
      </w:r>
      <w:r w:rsidRPr="00BA521E">
        <w:rPr>
          <w:rStyle w:val="Strong"/>
          <w:b w:val="0"/>
          <w:color w:val="000000"/>
          <w:u w:val="single"/>
          <w:lang w:val="en-GB"/>
        </w:rPr>
        <w:t>Entrepreneurship and Openness: Theory and Evidence</w:t>
      </w:r>
      <w:r>
        <w:rPr>
          <w:rStyle w:val="Strong"/>
          <w:b w:val="0"/>
          <w:color w:val="000000"/>
          <w:lang w:val="en-GB"/>
        </w:rPr>
        <w:t>. Northampton, MA: Edward Elgar Publishing, Inc.</w:t>
      </w:r>
    </w:p>
    <w:p w:rsidR="00BB595B" w:rsidRDefault="00BB595B" w:rsidP="001E26B1">
      <w:pPr>
        <w:rPr>
          <w:rStyle w:val="Strong"/>
          <w:b w:val="0"/>
          <w:color w:val="000000"/>
          <w:lang w:val="en-GB"/>
        </w:rPr>
      </w:pPr>
    </w:p>
    <w:p w:rsidR="00BB595B" w:rsidRDefault="00BB595B" w:rsidP="00BB595B">
      <w:pPr>
        <w:ind w:left="720" w:hanging="720"/>
      </w:pPr>
      <w:r>
        <w:t xml:space="preserve">Bradley, M., Brav, A., Goldstein, I., &amp; Jiang, W. 2010. Activist arbitrage: A study of open-ending attempts of closed-end funds. </w:t>
      </w:r>
      <w:r w:rsidRPr="006F54A3">
        <w:rPr>
          <w:u w:val="single"/>
        </w:rPr>
        <w:t>Journal of Financial Economics</w:t>
      </w:r>
      <w:r>
        <w:t>, 95: 1-19.</w:t>
      </w:r>
    </w:p>
    <w:p w:rsidR="00BB595B" w:rsidRDefault="00BB595B" w:rsidP="00BB595B">
      <w:pPr>
        <w:ind w:left="720" w:hanging="720"/>
      </w:pPr>
    </w:p>
    <w:p w:rsidR="00BB595B" w:rsidRPr="009F2415" w:rsidRDefault="00BB595B" w:rsidP="00BB595B">
      <w:pPr>
        <w:ind w:left="720" w:hanging="720"/>
      </w:pPr>
      <w:r w:rsidRPr="00BB595B">
        <w:t xml:space="preserve">Choi, Y., &amp; Shepherd, D. 2004. Entrepreneurs’ decisions to exploit opportunities. </w:t>
      </w:r>
      <w:r w:rsidRPr="009F2415">
        <w:rPr>
          <w:u w:val="single"/>
        </w:rPr>
        <w:t>Journal of Management</w:t>
      </w:r>
      <w:r w:rsidRPr="009F2415">
        <w:t>, 30(3): 377-395.</w:t>
      </w:r>
    </w:p>
    <w:p w:rsidR="00BB595B" w:rsidRDefault="00BB595B" w:rsidP="00981D48"/>
    <w:p w:rsidR="00BB595B" w:rsidRDefault="00BB595B" w:rsidP="00BB595B">
      <w:pPr>
        <w:ind w:left="720" w:hanging="720"/>
      </w:pPr>
      <w:r>
        <w:t xml:space="preserve">Daraio, C., &amp; Simar, L. 2007. </w:t>
      </w:r>
      <w:r w:rsidRPr="00854957">
        <w:rPr>
          <w:u w:val="single"/>
        </w:rPr>
        <w:t>Advanced Robust and Nonparametrical Methods in Efficiency Analysis – Methodology and Applications</w:t>
      </w:r>
      <w:r>
        <w:t>. Boston, MA: Kluwer Academic Publishers</w:t>
      </w:r>
    </w:p>
    <w:p w:rsidR="00BB595B" w:rsidRPr="00BB595B" w:rsidRDefault="00BB595B" w:rsidP="00BB595B">
      <w:pPr>
        <w:ind w:left="720" w:hanging="720"/>
        <w:rPr>
          <w:lang w:val="en-GB"/>
        </w:rPr>
      </w:pPr>
    </w:p>
    <w:p w:rsidR="00BB595B" w:rsidRDefault="00BB595B" w:rsidP="00BB595B">
      <w:pPr>
        <w:ind w:left="720" w:hanging="720"/>
      </w:pPr>
      <w:r>
        <w:t xml:space="preserve">Dundas, K., &amp; Richardson, P. 1980. Corporate strategy and the concept of market failure. </w:t>
      </w:r>
      <w:r w:rsidRPr="00533FD0">
        <w:rPr>
          <w:u w:val="single"/>
        </w:rPr>
        <w:t>Strategic Management Journal</w:t>
      </w:r>
      <w:r>
        <w:t>, 1: 177-188.</w:t>
      </w:r>
    </w:p>
    <w:p w:rsidR="00BB595B" w:rsidRDefault="00BB595B" w:rsidP="00BB595B">
      <w:pPr>
        <w:ind w:left="720" w:hanging="720"/>
      </w:pPr>
    </w:p>
    <w:p w:rsidR="00BB595B" w:rsidRPr="009F2415" w:rsidRDefault="00BB595B" w:rsidP="00BB595B">
      <w:pPr>
        <w:ind w:left="720" w:hanging="720"/>
      </w:pPr>
      <w:r w:rsidRPr="00BB595B">
        <w:rPr>
          <w:lang w:val="en-GB"/>
        </w:rPr>
        <w:t xml:space="preserve">Eckhardt, J. T., &amp; Shane, S. A. 2003. </w:t>
      </w:r>
      <w:r w:rsidRPr="009F2415">
        <w:t xml:space="preserve">Opportunities and entrepreneurship. </w:t>
      </w:r>
      <w:r w:rsidRPr="009F2415">
        <w:rPr>
          <w:u w:val="single"/>
        </w:rPr>
        <w:t>Journal of Manag</w:t>
      </w:r>
      <w:r w:rsidRPr="009F2415">
        <w:rPr>
          <w:u w:val="single"/>
        </w:rPr>
        <w:t>e</w:t>
      </w:r>
      <w:r w:rsidRPr="009F2415">
        <w:rPr>
          <w:u w:val="single"/>
        </w:rPr>
        <w:t>ment</w:t>
      </w:r>
      <w:r w:rsidRPr="009F2415">
        <w:t>, 29: 333-349.</w:t>
      </w:r>
    </w:p>
    <w:p w:rsidR="00BB595B" w:rsidRPr="009F2415" w:rsidRDefault="00BB595B" w:rsidP="00BB595B">
      <w:pPr>
        <w:ind w:left="720" w:hanging="720"/>
      </w:pPr>
    </w:p>
    <w:p w:rsidR="00BB595B" w:rsidRPr="009F2415" w:rsidRDefault="00BB595B" w:rsidP="00BB595B">
      <w:pPr>
        <w:ind w:left="720" w:hanging="720"/>
        <w:rPr>
          <w:color w:val="000000"/>
        </w:rPr>
      </w:pPr>
      <w:r w:rsidRPr="00BB595B">
        <w:rPr>
          <w:bCs/>
          <w:lang w:val="en-GB"/>
        </w:rPr>
        <w:t>Färe</w:t>
      </w:r>
      <w:r w:rsidRPr="00BB595B">
        <w:rPr>
          <w:color w:val="000000"/>
          <w:lang w:val="en-GB"/>
        </w:rPr>
        <w:t xml:space="preserve">, R., Grosskopf, S., Norris, M., &amp; Zhang, Z. 1994. </w:t>
      </w:r>
      <w:r w:rsidRPr="009F2415">
        <w:rPr>
          <w:color w:val="000000"/>
        </w:rPr>
        <w:t xml:space="preserve">Productivity growth, technical progress, and efficiency change in industrialized countries. </w:t>
      </w:r>
      <w:r w:rsidRPr="009F2415">
        <w:rPr>
          <w:color w:val="000000"/>
          <w:u w:val="single"/>
        </w:rPr>
        <w:t>American Economic Review</w:t>
      </w:r>
      <w:r w:rsidRPr="009F2415">
        <w:rPr>
          <w:color w:val="000000"/>
        </w:rPr>
        <w:t xml:space="preserve">, 84: 66-83. </w:t>
      </w:r>
    </w:p>
    <w:p w:rsidR="00BB595B" w:rsidRPr="009F2415" w:rsidRDefault="00BB595B" w:rsidP="00BB595B">
      <w:pPr>
        <w:ind w:left="720" w:hanging="720"/>
        <w:rPr>
          <w:rStyle w:val="Strong"/>
          <w:b w:val="0"/>
          <w:color w:val="000000"/>
        </w:rPr>
      </w:pPr>
    </w:p>
    <w:p w:rsidR="00BB595B" w:rsidRPr="009F2415" w:rsidRDefault="00BB595B" w:rsidP="00BB595B">
      <w:pPr>
        <w:ind w:left="720" w:hanging="720"/>
        <w:rPr>
          <w:rStyle w:val="Strong"/>
          <w:b w:val="0"/>
          <w:color w:val="000000"/>
        </w:rPr>
      </w:pPr>
      <w:r w:rsidRPr="00BB595B">
        <w:rPr>
          <w:rStyle w:val="Strong"/>
          <w:b w:val="0"/>
          <w:color w:val="000000"/>
          <w:lang w:val="en-GB"/>
        </w:rPr>
        <w:t xml:space="preserve">Färe, R., Grosskopf, S., &amp; Russell, R. R. (Eds.) 1998. </w:t>
      </w:r>
      <w:r w:rsidRPr="009F2415">
        <w:rPr>
          <w:rStyle w:val="Strong"/>
          <w:b w:val="0"/>
          <w:color w:val="000000"/>
          <w:u w:val="single"/>
        </w:rPr>
        <w:t>Index Numbers: Essays in Honor of Sten Mal</w:t>
      </w:r>
      <w:r w:rsidRPr="009F2415">
        <w:rPr>
          <w:rStyle w:val="Strong"/>
          <w:b w:val="0"/>
          <w:color w:val="000000"/>
          <w:u w:val="single"/>
        </w:rPr>
        <w:t>m</w:t>
      </w:r>
      <w:r w:rsidRPr="009F2415">
        <w:rPr>
          <w:rStyle w:val="Strong"/>
          <w:b w:val="0"/>
          <w:color w:val="000000"/>
          <w:u w:val="single"/>
        </w:rPr>
        <w:t>quist</w:t>
      </w:r>
      <w:r w:rsidRPr="009F2415">
        <w:rPr>
          <w:rStyle w:val="Strong"/>
          <w:b w:val="0"/>
          <w:color w:val="000000"/>
        </w:rPr>
        <w:t>. Norwell, MA: Kluwer Academic Publishers.</w:t>
      </w:r>
    </w:p>
    <w:p w:rsidR="00BB595B" w:rsidRPr="009F2415" w:rsidRDefault="00BB595B" w:rsidP="00BB595B">
      <w:pPr>
        <w:ind w:left="720" w:hanging="720"/>
      </w:pPr>
    </w:p>
    <w:p w:rsidR="00BB595B" w:rsidRPr="009F2415" w:rsidRDefault="00BB595B" w:rsidP="00BB595B">
      <w:pPr>
        <w:ind w:left="720" w:hanging="720"/>
      </w:pPr>
      <w:r w:rsidRPr="009F2415">
        <w:t xml:space="preserve">Fleming, W. 1977. </w:t>
      </w:r>
      <w:r w:rsidRPr="009F2415">
        <w:rPr>
          <w:u w:val="single"/>
        </w:rPr>
        <w:t>Functions of Several Variables</w:t>
      </w:r>
      <w:r w:rsidRPr="009F2415">
        <w:t>. New York: Springer-Verlag</w:t>
      </w:r>
    </w:p>
    <w:p w:rsidR="00BB595B" w:rsidRPr="009F2415" w:rsidRDefault="00BB595B" w:rsidP="00BB595B">
      <w:pPr>
        <w:ind w:left="720" w:hanging="720"/>
      </w:pPr>
    </w:p>
    <w:p w:rsidR="00BB595B" w:rsidRPr="009F2415" w:rsidRDefault="00BB595B" w:rsidP="00BB595B">
      <w:pPr>
        <w:ind w:left="720" w:hanging="720"/>
      </w:pPr>
      <w:r w:rsidRPr="009F2415">
        <w:t xml:space="preserve">Florida, R. &amp; Kenney, M. 1991. The transfer of Japanese industrial organization to the U.S. </w:t>
      </w:r>
      <w:r w:rsidRPr="009F2415">
        <w:rPr>
          <w:u w:val="single"/>
        </w:rPr>
        <w:t>American Sociological Review</w:t>
      </w:r>
      <w:r w:rsidRPr="009F2415">
        <w:t>, 56(3): 381-398.</w:t>
      </w:r>
    </w:p>
    <w:p w:rsidR="00BB595B" w:rsidRPr="009F2415" w:rsidRDefault="00BB595B" w:rsidP="00BB595B">
      <w:pPr>
        <w:ind w:left="720" w:hanging="720"/>
      </w:pPr>
    </w:p>
    <w:p w:rsidR="00BB595B" w:rsidRPr="009F2415" w:rsidRDefault="00BB595B" w:rsidP="00BB595B">
      <w:pPr>
        <w:ind w:left="720" w:hanging="720"/>
      </w:pPr>
      <w:r w:rsidRPr="009F2415">
        <w:t xml:space="preserve">Frantz, R. 2004. The behavioral economics of George Akerloff and Harvey Leibenstein. </w:t>
      </w:r>
      <w:r w:rsidRPr="003144BF">
        <w:rPr>
          <w:u w:val="single"/>
        </w:rPr>
        <w:t>Journal of Socio-Economics</w:t>
      </w:r>
      <w:r w:rsidRPr="009F2415">
        <w:t xml:space="preserve">, March, </w:t>
      </w:r>
      <w:r w:rsidRPr="009F2415">
        <w:rPr>
          <w:b/>
        </w:rPr>
        <w:t>33</w:t>
      </w:r>
      <w:r w:rsidRPr="009F2415">
        <w:t>(1), 29-44.</w:t>
      </w:r>
    </w:p>
    <w:p w:rsidR="00BB595B" w:rsidRPr="009F2415" w:rsidRDefault="00BB595B" w:rsidP="00BB595B"/>
    <w:p w:rsidR="00BB595B" w:rsidRDefault="00BB595B" w:rsidP="00BB595B">
      <w:pPr>
        <w:ind w:left="720" w:hanging="720"/>
      </w:pPr>
      <w:r>
        <w:t xml:space="preserve">Gagnon, L., &amp; Karolyi, A. 2010. Multi-market trading and arbitrage. </w:t>
      </w:r>
      <w:r w:rsidRPr="008F5360">
        <w:rPr>
          <w:u w:val="single"/>
        </w:rPr>
        <w:t>Journal of Financial Economics</w:t>
      </w:r>
      <w:r>
        <w:t>, 97: 53-80.</w:t>
      </w:r>
    </w:p>
    <w:p w:rsidR="00BB595B" w:rsidRDefault="00BB595B" w:rsidP="00BB595B">
      <w:pPr>
        <w:ind w:left="720" w:hanging="720"/>
      </w:pPr>
    </w:p>
    <w:p w:rsidR="00BB595B" w:rsidRPr="009F2415" w:rsidRDefault="00BB595B" w:rsidP="00BB595B">
      <w:pPr>
        <w:ind w:left="720" w:hanging="720"/>
      </w:pPr>
      <w:r w:rsidRPr="009F2415">
        <w:t xml:space="preserve">General Motors, 2009. </w:t>
      </w:r>
      <w:r w:rsidRPr="009F2415">
        <w:rPr>
          <w:u w:val="single"/>
        </w:rPr>
        <w:t>Corporate Social Responsibility Report</w:t>
      </w:r>
      <w:r w:rsidRPr="009F2415">
        <w:t xml:space="preserve">. Retrieved May 29, 2009 from </w:t>
      </w:r>
      <w:hyperlink r:id="rId25" w:history="1">
        <w:r w:rsidRPr="009F2415">
          <w:rPr>
            <w:color w:val="0000FF"/>
            <w:u w:val="single"/>
          </w:rPr>
          <w:t>http://www.gm.com/corporate/responsibility/reports/08/400_products/4-6-1.jsp</w:t>
        </w:r>
      </w:hyperlink>
      <w:r w:rsidRPr="009F2415">
        <w:t xml:space="preserve"> </w:t>
      </w:r>
    </w:p>
    <w:p w:rsidR="00BB595B" w:rsidRDefault="00BB595B" w:rsidP="00262546"/>
    <w:p w:rsidR="00BB595B" w:rsidRPr="009F2415" w:rsidRDefault="00BB595B" w:rsidP="00BB595B">
      <w:pPr>
        <w:ind w:left="720" w:hanging="720"/>
      </w:pPr>
      <w:r w:rsidRPr="009F2415">
        <w:t xml:space="preserve">Gopal, R., Sanders, G. 2000. Global software piracy: You can’t get blood out of a turnip. </w:t>
      </w:r>
      <w:r w:rsidRPr="009F2415">
        <w:rPr>
          <w:u w:val="single"/>
        </w:rPr>
        <w:t>Communications of the ACM</w:t>
      </w:r>
      <w:r w:rsidRPr="009F2415">
        <w:t>, 43(9): 83-89.</w:t>
      </w:r>
    </w:p>
    <w:p w:rsidR="00BB595B" w:rsidRPr="009F2415" w:rsidRDefault="00BB595B" w:rsidP="00BB595B">
      <w:pPr>
        <w:ind w:left="720" w:hanging="720"/>
      </w:pPr>
    </w:p>
    <w:p w:rsidR="00BB595B" w:rsidRPr="009F2415" w:rsidRDefault="00BB595B" w:rsidP="00BB595B">
      <w:pPr>
        <w:ind w:left="720" w:hanging="720"/>
      </w:pPr>
      <w:r w:rsidRPr="009F2415">
        <w:t xml:space="preserve">Green, W.H. (1990).  A gamma-distributed stochastic frontier model.  </w:t>
      </w:r>
      <w:r w:rsidRPr="003144BF">
        <w:rPr>
          <w:u w:val="single"/>
        </w:rPr>
        <w:t>Journal of Econometrics</w:t>
      </w:r>
      <w:r w:rsidRPr="009F2415">
        <w:t xml:space="preserve">, </w:t>
      </w:r>
      <w:r w:rsidRPr="009F2415">
        <w:rPr>
          <w:b/>
        </w:rPr>
        <w:t>46</w:t>
      </w:r>
      <w:r w:rsidRPr="009F2415">
        <w:t>, 141-163.</w:t>
      </w:r>
    </w:p>
    <w:p w:rsidR="00BB595B" w:rsidRPr="009F2415" w:rsidRDefault="00BB595B" w:rsidP="00BB595B">
      <w:pPr>
        <w:ind w:left="720" w:hanging="720"/>
      </w:pPr>
    </w:p>
    <w:p w:rsidR="00BB595B" w:rsidRPr="00B655D5" w:rsidRDefault="00BB595B" w:rsidP="00BB595B">
      <w:pPr>
        <w:ind w:left="360" w:hanging="360"/>
      </w:pPr>
      <w:r>
        <w:t>Hayek,</w:t>
      </w:r>
      <w:r w:rsidRPr="00B655D5">
        <w:t xml:space="preserve"> F. 1945. The use of knowledge in society. </w:t>
      </w:r>
      <w:r w:rsidRPr="00D704FB">
        <w:rPr>
          <w:u w:val="single"/>
        </w:rPr>
        <w:t>American Economic Review</w:t>
      </w:r>
      <w:r>
        <w:t>, 35:</w:t>
      </w:r>
      <w:r w:rsidRPr="00B655D5">
        <w:t xml:space="preserve"> 519-530.</w:t>
      </w:r>
    </w:p>
    <w:p w:rsidR="00BB595B" w:rsidRDefault="00BB595B" w:rsidP="00BB595B">
      <w:pPr>
        <w:ind w:left="720" w:hanging="720"/>
      </w:pPr>
    </w:p>
    <w:p w:rsidR="00BB595B" w:rsidRDefault="00BB595B" w:rsidP="00BB595B">
      <w:pPr>
        <w:ind w:left="720" w:hanging="720"/>
      </w:pPr>
      <w:r>
        <w:t xml:space="preserve">Hoff, A. 2007. Second stage DEA: Comparison of approaches for modeling the DEA score. </w:t>
      </w:r>
      <w:r w:rsidRPr="0022306E">
        <w:rPr>
          <w:u w:val="single"/>
        </w:rPr>
        <w:t>European Journal of Operational Research</w:t>
      </w:r>
      <w:r>
        <w:t>, 181: 425-435.</w:t>
      </w:r>
    </w:p>
    <w:p w:rsidR="00BB595B" w:rsidRDefault="00BB595B" w:rsidP="00BB595B">
      <w:pPr>
        <w:ind w:left="720" w:hanging="720"/>
      </w:pPr>
    </w:p>
    <w:p w:rsidR="00BB595B" w:rsidRPr="009F2415" w:rsidRDefault="00BB595B" w:rsidP="00BB595B">
      <w:pPr>
        <w:ind w:left="720" w:hanging="720"/>
      </w:pPr>
      <w:r w:rsidRPr="009F2415">
        <w:t xml:space="preserve">Johnson, N. L. 1962. The folded normal distribution: accuracy of the estimation by maximum likelihood. </w:t>
      </w:r>
      <w:r w:rsidRPr="009F2415">
        <w:rPr>
          <w:u w:val="single"/>
        </w:rPr>
        <w:t>Technometrics</w:t>
      </w:r>
      <w:r w:rsidRPr="009F2415">
        <w:rPr>
          <w:b/>
        </w:rPr>
        <w:t xml:space="preserve">, </w:t>
      </w:r>
      <w:r w:rsidRPr="009F2415">
        <w:t>4(2): 249-256.</w:t>
      </w:r>
    </w:p>
    <w:p w:rsidR="00BB595B" w:rsidRPr="009F2415" w:rsidRDefault="00BB595B" w:rsidP="00BB595B"/>
    <w:p w:rsidR="00BB595B" w:rsidRPr="009F2415" w:rsidRDefault="00BB595B" w:rsidP="00BB595B">
      <w:pPr>
        <w:ind w:left="720" w:hanging="720"/>
      </w:pPr>
      <w:r w:rsidRPr="009F2415">
        <w:rPr>
          <w:lang w:val="en-GB"/>
        </w:rPr>
        <w:t xml:space="preserve">Klevorick, A., Levin, R., Nelson, R., &amp; Winter, S. 1995. </w:t>
      </w:r>
      <w:r w:rsidRPr="009F2415">
        <w:t xml:space="preserve">On the sources and significance of interindustry differences in technological opportunities. </w:t>
      </w:r>
      <w:r w:rsidRPr="009F2415">
        <w:rPr>
          <w:u w:val="single"/>
        </w:rPr>
        <w:t>Research Policy</w:t>
      </w:r>
      <w:r w:rsidRPr="009F2415">
        <w:t>, 24: 185-205.</w:t>
      </w:r>
    </w:p>
    <w:p w:rsidR="00BB595B" w:rsidRPr="009F2415" w:rsidRDefault="00BB595B" w:rsidP="00BB595B">
      <w:pPr>
        <w:ind w:left="720" w:hanging="720"/>
      </w:pPr>
    </w:p>
    <w:p w:rsidR="00BB595B" w:rsidRPr="009F2415" w:rsidRDefault="00BB595B" w:rsidP="00BB595B">
      <w:pPr>
        <w:ind w:left="720" w:hanging="720"/>
      </w:pPr>
      <w:r w:rsidRPr="009F2415">
        <w:t xml:space="preserve">Kirzner, I. 1973. </w:t>
      </w:r>
      <w:r w:rsidRPr="009F2415">
        <w:rPr>
          <w:u w:val="single"/>
        </w:rPr>
        <w:t>Competition and Entrepreneurship</w:t>
      </w:r>
      <w:r w:rsidRPr="009F2415">
        <w:t>. Chicago: University of Chicago Press.</w:t>
      </w:r>
    </w:p>
    <w:p w:rsidR="00BB595B" w:rsidRPr="009F2415" w:rsidRDefault="00BB595B" w:rsidP="00BB595B">
      <w:pPr>
        <w:ind w:left="720" w:hanging="720"/>
      </w:pPr>
    </w:p>
    <w:p w:rsidR="00BB595B" w:rsidRPr="009F2415" w:rsidRDefault="00BB595B" w:rsidP="00BB595B">
      <w:pPr>
        <w:ind w:left="720" w:hanging="720"/>
      </w:pPr>
      <w:r w:rsidRPr="009F2415">
        <w:rPr>
          <w:lang w:val="fi-FI"/>
        </w:rPr>
        <w:t xml:space="preserve">Kuosmanen, T., Cherchye, L., &amp; Sipiläinen, T. 2006. </w:t>
      </w:r>
      <w:r w:rsidRPr="009F2415">
        <w:t xml:space="preserve">The law of one price in data envelopment analysis: Restricting weight flexibility across firms. </w:t>
      </w:r>
      <w:r w:rsidRPr="009F2415">
        <w:rPr>
          <w:u w:val="single"/>
        </w:rPr>
        <w:t>European Journal of Operational Research</w:t>
      </w:r>
      <w:r w:rsidRPr="009F2415">
        <w:t>, 170: 735-757.</w:t>
      </w:r>
    </w:p>
    <w:p w:rsidR="00BB595B" w:rsidRPr="009F2415" w:rsidRDefault="00BB595B" w:rsidP="00BB595B">
      <w:pPr>
        <w:ind w:left="720" w:hanging="720"/>
      </w:pPr>
    </w:p>
    <w:p w:rsidR="00BB595B" w:rsidRPr="009F2415" w:rsidRDefault="00BB595B" w:rsidP="00BB595B">
      <w:pPr>
        <w:ind w:left="720" w:hanging="720"/>
      </w:pPr>
      <w:r w:rsidRPr="009F2415">
        <w:t xml:space="preserve">Law, A. &amp; Kelton, W.D. 1982. </w:t>
      </w:r>
      <w:r w:rsidRPr="009F2415">
        <w:rPr>
          <w:u w:val="single"/>
        </w:rPr>
        <w:t>Simulation Modeling And Analysis</w:t>
      </w:r>
      <w:r w:rsidRPr="009F2415">
        <w:t>. New York: McGraw-Hill Book Company</w:t>
      </w:r>
      <w:r w:rsidRPr="009F2415">
        <w:br/>
      </w:r>
      <w:r w:rsidRPr="009F2415">
        <w:rPr>
          <w:rFonts w:ascii="Calibri" w:hAnsi="Calibri"/>
          <w:szCs w:val="22"/>
        </w:rPr>
        <w:t> </w:t>
      </w:r>
      <w:r w:rsidRPr="009F2415">
        <w:t xml:space="preserve"> </w:t>
      </w:r>
    </w:p>
    <w:p w:rsidR="00BB595B" w:rsidRPr="009F2415" w:rsidRDefault="00BB595B" w:rsidP="00BB595B">
      <w:pPr>
        <w:ind w:left="720" w:hanging="720"/>
      </w:pPr>
      <w:r w:rsidRPr="009F2415">
        <w:t xml:space="preserve">Levin, R., Klevorick, A., Nelson, R., &amp; Winter, S. 1987. Appropriating the returns from industrial research and development. </w:t>
      </w:r>
      <w:r w:rsidRPr="009F2415">
        <w:rPr>
          <w:u w:val="single"/>
        </w:rPr>
        <w:t>Brookings Papers on Economic Activity</w:t>
      </w:r>
      <w:r w:rsidRPr="009F2415">
        <w:t>, 3: 783-820.</w:t>
      </w:r>
    </w:p>
    <w:p w:rsidR="00BB595B" w:rsidRPr="009F2415" w:rsidRDefault="00BB595B" w:rsidP="00BB595B">
      <w:pPr>
        <w:ind w:left="720" w:hanging="720"/>
      </w:pPr>
    </w:p>
    <w:p w:rsidR="00BB595B" w:rsidRPr="009F2415" w:rsidRDefault="00BB595B" w:rsidP="00BB595B">
      <w:pPr>
        <w:ind w:left="720" w:hanging="720"/>
      </w:pPr>
      <w:r w:rsidRPr="009F2415">
        <w:t xml:space="preserve">Leibenstein, H. 1968.   Entrepreneurship and Development. </w:t>
      </w:r>
      <w:r w:rsidRPr="009F2415">
        <w:rPr>
          <w:u w:val="single"/>
        </w:rPr>
        <w:t>The American Economic Review</w:t>
      </w:r>
      <w:r w:rsidRPr="009F2415">
        <w:t xml:space="preserve"> 58(2): 72-83.</w:t>
      </w:r>
    </w:p>
    <w:p w:rsidR="00BB595B" w:rsidRPr="009F2415" w:rsidRDefault="00BB595B" w:rsidP="00BB595B">
      <w:pPr>
        <w:ind w:left="720" w:hanging="720"/>
      </w:pPr>
    </w:p>
    <w:p w:rsidR="00BB595B" w:rsidRPr="009F2415" w:rsidRDefault="00BB595B" w:rsidP="00BB595B">
      <w:pPr>
        <w:ind w:left="720" w:hanging="720"/>
      </w:pPr>
      <w:r w:rsidRPr="00BB595B">
        <w:rPr>
          <w:lang w:val="en-GB"/>
        </w:rPr>
        <w:t xml:space="preserve">Leibenstein, H. 1976.  </w:t>
      </w:r>
      <w:r w:rsidRPr="00BB595B">
        <w:rPr>
          <w:u w:val="single"/>
          <w:lang w:val="en-GB"/>
        </w:rPr>
        <w:t>Beyond Economic Man</w:t>
      </w:r>
      <w:r w:rsidRPr="00BB595B">
        <w:rPr>
          <w:lang w:val="en-GB"/>
        </w:rPr>
        <w:t xml:space="preserve">. </w:t>
      </w:r>
      <w:r w:rsidRPr="009F2415">
        <w:t>Cambridge, MA: Harvard University Press</w:t>
      </w:r>
    </w:p>
    <w:p w:rsidR="00BB595B" w:rsidRPr="009F2415" w:rsidRDefault="00BB595B" w:rsidP="00BB595B"/>
    <w:p w:rsidR="00BB595B" w:rsidRPr="00E13D06" w:rsidRDefault="00BB595B" w:rsidP="00BB595B">
      <w:pPr>
        <w:ind w:left="720" w:hanging="720"/>
      </w:pPr>
      <w:r w:rsidRPr="001641A4">
        <w:rPr>
          <w:lang w:val="fr-FR"/>
        </w:rPr>
        <w:t xml:space="preserve">Lipschitz, L., Lane, T., &amp; Mourmouras, A. 2002. </w:t>
      </w:r>
      <w:r w:rsidRPr="00E13D06">
        <w:t>Capital flows to transition economies: Master or servant?</w:t>
      </w:r>
      <w:r>
        <w:t xml:space="preserve"> International Monetary Fund Working Paper WP/02/11.</w:t>
      </w:r>
    </w:p>
    <w:p w:rsidR="00BB595B" w:rsidRPr="00BB595B" w:rsidRDefault="00BB595B" w:rsidP="00BB595B">
      <w:pPr>
        <w:ind w:left="720" w:hanging="720"/>
        <w:rPr>
          <w:lang w:val="en-GB"/>
        </w:rPr>
      </w:pPr>
    </w:p>
    <w:p w:rsidR="00BB595B" w:rsidRPr="00BB595B" w:rsidRDefault="00BB595B" w:rsidP="00BB595B">
      <w:pPr>
        <w:ind w:left="720" w:hanging="720"/>
        <w:rPr>
          <w:lang w:val="en-GB"/>
        </w:rPr>
      </w:pPr>
      <w:r w:rsidRPr="00BB595B">
        <w:rPr>
          <w:lang w:val="en-GB"/>
        </w:rPr>
        <w:t xml:space="preserve">Madansky, A. 1988. </w:t>
      </w:r>
      <w:r w:rsidRPr="00BB595B">
        <w:rPr>
          <w:u w:val="single"/>
          <w:lang w:val="en-GB"/>
        </w:rPr>
        <w:t>Prescriptions for Working Statisticians</w:t>
      </w:r>
      <w:r w:rsidRPr="00BB595B">
        <w:rPr>
          <w:lang w:val="en-GB"/>
        </w:rPr>
        <w:t xml:space="preserve">, New York: Springer-Verlag </w:t>
      </w:r>
    </w:p>
    <w:p w:rsidR="00BB595B" w:rsidRPr="009F2415" w:rsidRDefault="00BB595B" w:rsidP="00BB595B">
      <w:pPr>
        <w:ind w:left="720" w:hanging="720"/>
      </w:pPr>
    </w:p>
    <w:p w:rsidR="00BB595B" w:rsidRDefault="00BB595B" w:rsidP="00BB595B">
      <w:pPr>
        <w:ind w:left="720" w:hanging="720"/>
      </w:pPr>
      <w:r>
        <w:t xml:space="preserve">Martin, S., &amp; Scott, J. 2000. The nature of innovation market failure and the design of public support for private innovation. </w:t>
      </w:r>
      <w:r w:rsidRPr="00EF151D">
        <w:rPr>
          <w:u w:val="single"/>
        </w:rPr>
        <w:t>Research Policy</w:t>
      </w:r>
      <w:r>
        <w:t>, 29: 437-447.</w:t>
      </w:r>
    </w:p>
    <w:p w:rsidR="00BB595B" w:rsidRDefault="00BB595B" w:rsidP="00BB595B">
      <w:pPr>
        <w:ind w:left="720" w:hanging="720"/>
      </w:pPr>
    </w:p>
    <w:p w:rsidR="00BB595B" w:rsidRDefault="00BB595B" w:rsidP="00BB595B">
      <w:pPr>
        <w:ind w:left="720" w:hanging="720"/>
      </w:pPr>
      <w:r>
        <w:t xml:space="preserve">McDonald, J. 2009. Using least squares and tobit in second stage DEA efficiency analysis. </w:t>
      </w:r>
      <w:r w:rsidRPr="00EF151D">
        <w:rPr>
          <w:u w:val="single"/>
        </w:rPr>
        <w:t>European Journal of Operational Research</w:t>
      </w:r>
      <w:r>
        <w:t>, 197: 792-798.</w:t>
      </w:r>
    </w:p>
    <w:p w:rsidR="00BB595B" w:rsidRDefault="00BB595B" w:rsidP="00BB595B">
      <w:pPr>
        <w:ind w:left="720" w:hanging="720"/>
      </w:pPr>
    </w:p>
    <w:p w:rsidR="00BB595B" w:rsidRDefault="00BB595B" w:rsidP="00BB595B">
      <w:pPr>
        <w:ind w:left="720" w:hanging="720"/>
      </w:pPr>
      <w:r>
        <w:t>Minniti, M.</w:t>
      </w:r>
      <w:r w:rsidRPr="0086770A">
        <w:t>,</w:t>
      </w:r>
      <w:r>
        <w:t xml:space="preserve"> M.</w:t>
      </w:r>
      <w:r w:rsidRPr="0086770A">
        <w:t xml:space="preserve"> Lévesque</w:t>
      </w:r>
      <w:r>
        <w:t xml:space="preserve">. 2010. </w:t>
      </w:r>
      <w:r w:rsidRPr="0086770A">
        <w:t>Entrepreneurial types and economic growth</w:t>
      </w:r>
      <w:r>
        <w:t xml:space="preserve">. </w:t>
      </w:r>
      <w:r w:rsidRPr="00D704FB">
        <w:rPr>
          <w:u w:val="single"/>
        </w:rPr>
        <w:t>Journal of Business Venturing</w:t>
      </w:r>
      <w:r>
        <w:t>, 25:</w:t>
      </w:r>
      <w:r w:rsidRPr="0086770A">
        <w:t xml:space="preserve"> 305–314</w:t>
      </w:r>
      <w:r>
        <w:t>.</w:t>
      </w:r>
    </w:p>
    <w:p w:rsidR="00BB595B" w:rsidRDefault="00BB595B" w:rsidP="00BB595B">
      <w:pPr>
        <w:ind w:left="720" w:hanging="720"/>
      </w:pPr>
    </w:p>
    <w:p w:rsidR="00BB595B" w:rsidRDefault="00BB595B" w:rsidP="00BB595B">
      <w:pPr>
        <w:ind w:left="720" w:hanging="720"/>
      </w:pPr>
      <w:r>
        <w:t>Mitchell, M., Pulvino, T., &amp; Stafford, E. 2002. Limited arbitrage in equity markets. Journal of Finance, 57: 551-584.</w:t>
      </w:r>
    </w:p>
    <w:p w:rsidR="00BB595B" w:rsidRDefault="00BB595B" w:rsidP="00BB595B">
      <w:pPr>
        <w:ind w:left="720" w:hanging="720"/>
      </w:pPr>
    </w:p>
    <w:p w:rsidR="00BB595B" w:rsidRDefault="00BB595B" w:rsidP="00BB595B">
      <w:pPr>
        <w:ind w:left="720" w:hanging="720"/>
      </w:pPr>
      <w:r>
        <w:lastRenderedPageBreak/>
        <w:t xml:space="preserve">North American Industry Classification System. 2007. Introduction. </w:t>
      </w:r>
      <w:r w:rsidRPr="009F2415">
        <w:t xml:space="preserve">Retrieved </w:t>
      </w:r>
      <w:r>
        <w:t>November 21, 2011</w:t>
      </w:r>
      <w:r w:rsidRPr="009F2415">
        <w:t xml:space="preserve"> from </w:t>
      </w:r>
      <w:hyperlink r:id="rId26" w:history="1">
        <w:r w:rsidRPr="00CB7A9D">
          <w:rPr>
            <w:rStyle w:val="Hyperlink"/>
          </w:rPr>
          <w:t>http://www.statcan.gc.ca/subjects-sujets/standard-norme/naics-scian/2007/introduction-eng.htm</w:t>
        </w:r>
      </w:hyperlink>
      <w:r>
        <w:t xml:space="preserve"> </w:t>
      </w:r>
    </w:p>
    <w:p w:rsidR="00BB595B" w:rsidRDefault="00BB595B" w:rsidP="00BB595B">
      <w:pPr>
        <w:ind w:left="720" w:hanging="720"/>
      </w:pPr>
    </w:p>
    <w:p w:rsidR="00BB595B" w:rsidRPr="009F2415" w:rsidRDefault="00BB595B" w:rsidP="00BB595B">
      <w:pPr>
        <w:ind w:left="720" w:hanging="720"/>
      </w:pPr>
      <w:r w:rsidRPr="009F2415">
        <w:t xml:space="preserve">Outterson, K. 2005. Pharmaceutical arbitrage: Balancing access and innovation in international prescription drug markets. </w:t>
      </w:r>
      <w:r w:rsidRPr="009F2415">
        <w:rPr>
          <w:u w:val="single"/>
        </w:rPr>
        <w:t>Yale Journal of Health Policy, Law and Ethics</w:t>
      </w:r>
      <w:r w:rsidRPr="009F2415">
        <w:t>, 5(1): 193-291.</w:t>
      </w:r>
    </w:p>
    <w:p w:rsidR="00BB595B" w:rsidRPr="009F2415" w:rsidRDefault="00BB595B" w:rsidP="00BB595B">
      <w:pPr>
        <w:ind w:left="720" w:hanging="720"/>
      </w:pPr>
    </w:p>
    <w:p w:rsidR="00BB595B" w:rsidRPr="007F5EC6" w:rsidRDefault="00BB595B" w:rsidP="00BB595B">
      <w:pPr>
        <w:ind w:left="720" w:hanging="720"/>
      </w:pPr>
      <w:r>
        <w:t>Papke, L., &amp; Wooldridge, J. 1996. Econometric methods for fractional response variables with an application to 401(</w:t>
      </w:r>
      <w:r w:rsidRPr="006765E9">
        <w:rPr>
          <w:i/>
        </w:rPr>
        <w:t>k</w:t>
      </w:r>
      <w:r>
        <w:t xml:space="preserve">) plan participation rates. </w:t>
      </w:r>
      <w:r w:rsidRPr="007F5EC6">
        <w:rPr>
          <w:u w:val="single"/>
        </w:rPr>
        <w:t>Journal of Applied Econometrics</w:t>
      </w:r>
      <w:r>
        <w:t>, 11(6): 619-632.</w:t>
      </w:r>
    </w:p>
    <w:p w:rsidR="00BB595B" w:rsidRDefault="00BB595B" w:rsidP="00BB595B">
      <w:pPr>
        <w:ind w:left="720" w:hanging="720"/>
      </w:pPr>
    </w:p>
    <w:p w:rsidR="00BB595B" w:rsidRPr="009F2415" w:rsidRDefault="00BB595B" w:rsidP="00BB595B">
      <w:pPr>
        <w:ind w:left="720" w:hanging="720"/>
      </w:pPr>
      <w:r w:rsidRPr="009F2415">
        <w:t xml:space="preserve">Pilarski, A. 2007. </w:t>
      </w:r>
      <w:r w:rsidRPr="009F2415">
        <w:rPr>
          <w:u w:val="single"/>
        </w:rPr>
        <w:t>Why can’t we make money in aviation?</w:t>
      </w:r>
      <w:r w:rsidRPr="009F2415">
        <w:t xml:space="preserve"> Aldershot, Hampshire: Ashgate Publishing.</w:t>
      </w:r>
    </w:p>
    <w:p w:rsidR="00BB595B" w:rsidRPr="009F2415" w:rsidRDefault="00BB595B" w:rsidP="00BB595B">
      <w:pPr>
        <w:ind w:left="720" w:hanging="720"/>
      </w:pPr>
    </w:p>
    <w:p w:rsidR="00BB595B" w:rsidRPr="009F2415" w:rsidRDefault="00BB595B" w:rsidP="00BB595B">
      <w:pPr>
        <w:ind w:left="720" w:hanging="720"/>
      </w:pPr>
      <w:r w:rsidRPr="009F2415">
        <w:t xml:space="preserve">Ritter, C. and Léopold, S.  (1997).  Pitfalls of Normal-Gamma Stochastic Frontier Models.  </w:t>
      </w:r>
      <w:r w:rsidRPr="009F2415">
        <w:rPr>
          <w:u w:val="single"/>
        </w:rPr>
        <w:t>Journal of Productivity Analysis</w:t>
      </w:r>
      <w:r w:rsidRPr="009F2415">
        <w:t>, 8, 167-182.</w:t>
      </w:r>
    </w:p>
    <w:p w:rsidR="00BB595B" w:rsidRPr="009F2415" w:rsidRDefault="00BB595B" w:rsidP="00BB595B"/>
    <w:p w:rsidR="00BB595B" w:rsidRPr="009F2415" w:rsidRDefault="00BB595B" w:rsidP="00BB595B">
      <w:pPr>
        <w:ind w:left="720" w:hanging="720"/>
      </w:pPr>
      <w:r w:rsidRPr="009F2415">
        <w:t xml:space="preserve">Samuelson, P. 2004. Intellectual property arbitrage: How foreign rules can affect domestic protections. </w:t>
      </w:r>
      <w:r w:rsidRPr="009F2415">
        <w:rPr>
          <w:u w:val="single"/>
        </w:rPr>
        <w:t>The University of Chicago Law Review</w:t>
      </w:r>
      <w:r w:rsidRPr="009F2415">
        <w:t>, 71(1): 223-239.</w:t>
      </w:r>
    </w:p>
    <w:p w:rsidR="00BB595B" w:rsidRPr="009F2415" w:rsidRDefault="00BB595B" w:rsidP="00BB595B">
      <w:pPr>
        <w:ind w:left="720" w:hanging="720"/>
      </w:pPr>
    </w:p>
    <w:p w:rsidR="00BB595B" w:rsidRPr="009F2415" w:rsidRDefault="00BB595B" w:rsidP="00BB595B">
      <w:pPr>
        <w:ind w:left="720" w:hanging="720"/>
      </w:pPr>
      <w:r w:rsidRPr="009F2415">
        <w:t xml:space="preserve">Schumpeter, J. A. 1934. </w:t>
      </w:r>
      <w:r w:rsidRPr="009F2415">
        <w:rPr>
          <w:u w:val="single"/>
        </w:rPr>
        <w:t>The Theory of Economic Development</w:t>
      </w:r>
      <w:r w:rsidRPr="009F2415">
        <w:t xml:space="preserve">. Cambridge, MA: Harvard University Press. </w:t>
      </w:r>
    </w:p>
    <w:p w:rsidR="00BB595B" w:rsidRPr="009F2415" w:rsidRDefault="00BB595B" w:rsidP="00BB595B">
      <w:pPr>
        <w:ind w:left="720" w:hanging="720"/>
      </w:pPr>
    </w:p>
    <w:p w:rsidR="00BB595B" w:rsidRPr="009F2415" w:rsidRDefault="00BB595B" w:rsidP="00BB595B">
      <w:pPr>
        <w:ind w:left="720" w:hanging="720"/>
      </w:pPr>
      <w:r w:rsidRPr="009F2415">
        <w:t xml:space="preserve">Shane, S. 2000. Prior knowledge and the discovery of entrepreneurial opportunities. </w:t>
      </w:r>
      <w:r w:rsidRPr="009F2415">
        <w:rPr>
          <w:u w:val="single"/>
        </w:rPr>
        <w:t>Organization Science</w:t>
      </w:r>
      <w:r w:rsidRPr="009F2415">
        <w:t>, 11(4): 448-469.</w:t>
      </w:r>
    </w:p>
    <w:p w:rsidR="00BB595B" w:rsidRPr="009F2415" w:rsidRDefault="00BB595B" w:rsidP="00C769E5"/>
    <w:p w:rsidR="00BB595B" w:rsidRPr="009F2415" w:rsidRDefault="00BB595B" w:rsidP="00BB595B">
      <w:pPr>
        <w:ind w:left="720" w:hanging="720"/>
      </w:pPr>
      <w:r w:rsidRPr="009F2415">
        <w:t xml:space="preserve">Shane, S., &amp; Venkataraman, S. 2000. The promise of entrepreneurship as a field of research. </w:t>
      </w:r>
      <w:r w:rsidRPr="009F2415">
        <w:rPr>
          <w:u w:val="single"/>
        </w:rPr>
        <w:t>Academy of Management Review</w:t>
      </w:r>
      <w:r w:rsidRPr="009F2415">
        <w:t>, 25: 217-226.</w:t>
      </w:r>
    </w:p>
    <w:p w:rsidR="00BB595B" w:rsidRPr="009F2415" w:rsidRDefault="00BB595B" w:rsidP="00BB595B">
      <w:pPr>
        <w:ind w:left="720" w:hanging="720"/>
      </w:pPr>
    </w:p>
    <w:p w:rsidR="00BB595B" w:rsidRDefault="00BB595B" w:rsidP="00BB595B">
      <w:pPr>
        <w:ind w:left="720" w:hanging="720"/>
        <w:rPr>
          <w:lang w:val="en-GB"/>
        </w:rPr>
      </w:pPr>
      <w:r>
        <w:rPr>
          <w:lang w:val="en-GB"/>
        </w:rPr>
        <w:t xml:space="preserve">Shleifer, A., &amp; Vishny, R. 1997. The limits of arbitrage. </w:t>
      </w:r>
      <w:r w:rsidRPr="00C835D4">
        <w:rPr>
          <w:u w:val="single"/>
          <w:lang w:val="en-GB"/>
        </w:rPr>
        <w:t>Journal of Finance</w:t>
      </w:r>
      <w:r>
        <w:rPr>
          <w:lang w:val="en-GB"/>
        </w:rPr>
        <w:t>, 52: 35-55.</w:t>
      </w:r>
    </w:p>
    <w:p w:rsidR="00BB595B" w:rsidRDefault="00BB595B" w:rsidP="00BB595B">
      <w:pPr>
        <w:ind w:left="720" w:hanging="720"/>
        <w:rPr>
          <w:lang w:val="en-GB"/>
        </w:rPr>
      </w:pPr>
    </w:p>
    <w:p w:rsidR="00BB595B" w:rsidRPr="009F2415" w:rsidRDefault="00BB595B" w:rsidP="00BB595B">
      <w:pPr>
        <w:ind w:left="720" w:hanging="720"/>
      </w:pPr>
      <w:r w:rsidRPr="009F2415">
        <w:rPr>
          <w:lang w:val="en-GB"/>
        </w:rPr>
        <w:t xml:space="preserve">Stevenson, H. &amp; Jarillo, C. 1990. </w:t>
      </w:r>
      <w:r w:rsidRPr="00BB595B">
        <w:rPr>
          <w:lang w:val="fr-FR"/>
        </w:rPr>
        <w:t xml:space="preserve">A paradigm of entrepreneurship: Entrepreneurial management. </w:t>
      </w:r>
      <w:r w:rsidRPr="009F2415">
        <w:rPr>
          <w:u w:val="single"/>
        </w:rPr>
        <w:t>Strategic Management Journal</w:t>
      </w:r>
      <w:r w:rsidRPr="009F2415">
        <w:t>, 11: 17-27.</w:t>
      </w:r>
    </w:p>
    <w:p w:rsidR="00BB595B" w:rsidRPr="009F2415" w:rsidRDefault="00BB595B" w:rsidP="00BB595B">
      <w:pPr>
        <w:ind w:left="720" w:hanging="720"/>
        <w:rPr>
          <w:color w:val="000000"/>
        </w:rPr>
      </w:pPr>
    </w:p>
    <w:p w:rsidR="00BB595B" w:rsidRDefault="00BB595B" w:rsidP="00BB595B">
      <w:pPr>
        <w:ind w:left="720" w:hanging="720"/>
        <w:rPr>
          <w:color w:val="000000"/>
        </w:rPr>
      </w:pPr>
      <w:r>
        <w:rPr>
          <w:color w:val="000000"/>
        </w:rPr>
        <w:t xml:space="preserve">Stiglitz, J. 1989. Markets, market failures and development. </w:t>
      </w:r>
      <w:r w:rsidRPr="000F4D04">
        <w:rPr>
          <w:color w:val="000000"/>
          <w:u w:val="single"/>
        </w:rPr>
        <w:t>American Economic Review</w:t>
      </w:r>
      <w:r>
        <w:rPr>
          <w:color w:val="000000"/>
        </w:rPr>
        <w:t>, 79: 197-203.</w:t>
      </w:r>
    </w:p>
    <w:p w:rsidR="00BB595B" w:rsidRDefault="00BB595B" w:rsidP="00BB595B">
      <w:pPr>
        <w:ind w:left="720" w:hanging="720"/>
        <w:rPr>
          <w:color w:val="000000"/>
        </w:rPr>
      </w:pPr>
    </w:p>
    <w:p w:rsidR="00BB595B" w:rsidRPr="009F2415" w:rsidRDefault="00BB595B" w:rsidP="00BB595B">
      <w:pPr>
        <w:ind w:left="720" w:hanging="720"/>
        <w:rPr>
          <w:color w:val="000000"/>
        </w:rPr>
      </w:pPr>
      <w:r w:rsidRPr="009F2415">
        <w:rPr>
          <w:color w:val="000000"/>
        </w:rPr>
        <w:lastRenderedPageBreak/>
        <w:t xml:space="preserve">Troutt, M. D. 1995. A maximum decisional efficiency estimation principle. </w:t>
      </w:r>
      <w:r w:rsidRPr="009F2415">
        <w:rPr>
          <w:iCs/>
          <w:color w:val="000000"/>
          <w:u w:val="single"/>
        </w:rPr>
        <w:t>Management</w:t>
      </w:r>
      <w:r w:rsidRPr="009F2415">
        <w:rPr>
          <w:color w:val="000000"/>
          <w:u w:val="single"/>
        </w:rPr>
        <w:t xml:space="preserve"> </w:t>
      </w:r>
      <w:r w:rsidRPr="009F2415">
        <w:rPr>
          <w:iCs/>
          <w:color w:val="000000"/>
          <w:u w:val="single"/>
        </w:rPr>
        <w:t>Sc</w:t>
      </w:r>
      <w:r w:rsidRPr="009F2415">
        <w:rPr>
          <w:iCs/>
          <w:color w:val="000000"/>
          <w:u w:val="single"/>
        </w:rPr>
        <w:t>i</w:t>
      </w:r>
      <w:r w:rsidRPr="009F2415">
        <w:rPr>
          <w:iCs/>
          <w:color w:val="000000"/>
          <w:u w:val="single"/>
        </w:rPr>
        <w:t>ence</w:t>
      </w:r>
      <w:r w:rsidRPr="009F2415">
        <w:rPr>
          <w:iCs/>
          <w:color w:val="000000"/>
        </w:rPr>
        <w:t xml:space="preserve">, </w:t>
      </w:r>
      <w:r w:rsidRPr="009F2415">
        <w:rPr>
          <w:color w:val="000000"/>
        </w:rPr>
        <w:t>41: 76-82.</w:t>
      </w:r>
    </w:p>
    <w:p w:rsidR="00BB595B" w:rsidRPr="009F2415" w:rsidRDefault="00BB595B" w:rsidP="00BB595B">
      <w:pPr>
        <w:ind w:left="720" w:hanging="720"/>
        <w:rPr>
          <w:color w:val="000000"/>
        </w:rPr>
      </w:pPr>
    </w:p>
    <w:p w:rsidR="00BB595B" w:rsidRPr="009F2415" w:rsidRDefault="00BB595B" w:rsidP="00BB595B">
      <w:pPr>
        <w:ind w:left="720" w:hanging="720"/>
        <w:rPr>
          <w:color w:val="000000"/>
        </w:rPr>
      </w:pPr>
      <w:r w:rsidRPr="009F2415">
        <w:rPr>
          <w:color w:val="000000"/>
        </w:rPr>
        <w:t>Troutt, M. D., Gribbin, D. W., Shanker. M., &amp; Zhang. A. 2000. Cost efficiency benchmarking for o</w:t>
      </w:r>
      <w:r w:rsidRPr="009F2415">
        <w:rPr>
          <w:color w:val="000000"/>
        </w:rPr>
        <w:t>p</w:t>
      </w:r>
      <w:r w:rsidRPr="009F2415">
        <w:rPr>
          <w:color w:val="000000"/>
        </w:rPr>
        <w:t xml:space="preserve">erational units with multiple cost drivers. </w:t>
      </w:r>
      <w:r w:rsidRPr="009F2415">
        <w:rPr>
          <w:iCs/>
          <w:color w:val="000000"/>
          <w:u w:val="single"/>
        </w:rPr>
        <w:t>Decision Sciences</w:t>
      </w:r>
      <w:r w:rsidRPr="009F2415">
        <w:rPr>
          <w:color w:val="000000"/>
        </w:rPr>
        <w:t>, 31: 813-832.</w:t>
      </w:r>
    </w:p>
    <w:p w:rsidR="00BB595B" w:rsidRPr="009F2415" w:rsidRDefault="00BB595B" w:rsidP="00BB595B">
      <w:pPr>
        <w:ind w:left="720" w:hanging="720"/>
        <w:rPr>
          <w:color w:val="000000"/>
        </w:rPr>
      </w:pPr>
    </w:p>
    <w:p w:rsidR="00BB595B" w:rsidRPr="00BB595B" w:rsidRDefault="00BB595B" w:rsidP="00BB595B">
      <w:pPr>
        <w:ind w:left="720" w:hanging="720"/>
        <w:rPr>
          <w:color w:val="000000"/>
          <w:lang w:val="fr-FR"/>
        </w:rPr>
      </w:pPr>
      <w:r w:rsidRPr="009F2415">
        <w:rPr>
          <w:color w:val="000000"/>
        </w:rPr>
        <w:t xml:space="preserve">Troutt, M.D., Pang, W.K., &amp; Hou, S.H. 2006. Behavioral estimation of mathematical programming objective function coefficients. </w:t>
      </w:r>
      <w:r w:rsidRPr="00BB595B">
        <w:rPr>
          <w:color w:val="000000"/>
          <w:u w:val="single"/>
          <w:lang w:val="fr-FR"/>
        </w:rPr>
        <w:t>Management Science</w:t>
      </w:r>
      <w:r w:rsidRPr="00BB595B">
        <w:rPr>
          <w:color w:val="000000"/>
          <w:lang w:val="fr-FR"/>
        </w:rPr>
        <w:t>, 52(3): 422-434.</w:t>
      </w:r>
    </w:p>
    <w:p w:rsidR="00BB595B" w:rsidRPr="00BB595B" w:rsidRDefault="00BB595B" w:rsidP="00BB595B">
      <w:pPr>
        <w:ind w:left="720" w:hanging="720"/>
        <w:rPr>
          <w:color w:val="000000"/>
          <w:lang w:val="fr-FR"/>
        </w:rPr>
      </w:pPr>
    </w:p>
    <w:p w:rsidR="00BB595B" w:rsidRPr="009F2415" w:rsidRDefault="00BB595B" w:rsidP="00BB595B">
      <w:pPr>
        <w:ind w:left="720" w:hanging="720"/>
      </w:pPr>
      <w:r w:rsidRPr="00BB595B">
        <w:rPr>
          <w:color w:val="000000"/>
          <w:lang w:val="fr-FR"/>
        </w:rPr>
        <w:t xml:space="preserve">Troutt, M.  D., Pang, W.  K., &amp; Hou, S. H. 2004. </w:t>
      </w:r>
      <w:r w:rsidRPr="009F2415">
        <w:rPr>
          <w:iCs/>
          <w:color w:val="000000"/>
          <w:u w:val="single"/>
        </w:rPr>
        <w:t>Vertical Density Representation and its Appl</w:t>
      </w:r>
      <w:r w:rsidRPr="009F2415">
        <w:rPr>
          <w:iCs/>
          <w:color w:val="000000"/>
          <w:u w:val="single"/>
        </w:rPr>
        <w:t>i</w:t>
      </w:r>
      <w:r w:rsidRPr="009F2415">
        <w:rPr>
          <w:iCs/>
          <w:color w:val="000000"/>
          <w:u w:val="single"/>
        </w:rPr>
        <w:t>cations</w:t>
      </w:r>
      <w:r w:rsidRPr="009F2415">
        <w:rPr>
          <w:color w:val="000000"/>
          <w:u w:val="single"/>
        </w:rPr>
        <w:t>.</w:t>
      </w:r>
      <w:r w:rsidRPr="009F2415">
        <w:rPr>
          <w:color w:val="000000"/>
        </w:rPr>
        <w:t xml:space="preserve"> </w:t>
      </w:r>
      <w:r w:rsidRPr="009F2415">
        <w:t>Singapore: World Scientific Publishing Co. Pte. Ltd.</w:t>
      </w:r>
    </w:p>
    <w:p w:rsidR="00BB595B" w:rsidRPr="009F2415" w:rsidRDefault="00BB595B" w:rsidP="00BB595B">
      <w:pPr>
        <w:ind w:left="720" w:hanging="720"/>
      </w:pPr>
    </w:p>
    <w:p w:rsidR="00BB595B" w:rsidRPr="009F2415" w:rsidRDefault="00BB595B" w:rsidP="00BB595B">
      <w:pPr>
        <w:ind w:left="720" w:hanging="720"/>
      </w:pPr>
      <w:r w:rsidRPr="009F2415">
        <w:t xml:space="preserve">Troutt, M. D., Hu. M. Y. &amp; Shanker, M. S. 2005.  </w:t>
      </w:r>
      <w:r w:rsidRPr="009F2415">
        <w:rPr>
          <w:bCs/>
        </w:rPr>
        <w:t>A Distribution-Free Approach to Estimating Best Response Values with Application to Mutual Fund Performance Modeling</w:t>
      </w:r>
      <w:r w:rsidRPr="009F2415">
        <w:t xml:space="preserve">, </w:t>
      </w:r>
      <w:r w:rsidRPr="009F2415">
        <w:rPr>
          <w:iCs/>
          <w:u w:val="single"/>
        </w:rPr>
        <w:t>European Journal of Operational Research</w:t>
      </w:r>
      <w:r w:rsidRPr="009F2415">
        <w:t>, 166(2): 520-527.</w:t>
      </w:r>
    </w:p>
    <w:p w:rsidR="00BB595B" w:rsidRPr="009F2415" w:rsidRDefault="00BB595B" w:rsidP="00BB595B"/>
    <w:p w:rsidR="00BB595B" w:rsidRPr="009F2415" w:rsidRDefault="00BB595B" w:rsidP="00BB595B">
      <w:pPr>
        <w:ind w:left="720" w:hanging="720"/>
      </w:pPr>
      <w:r w:rsidRPr="009F2415">
        <w:rPr>
          <w:lang w:val="fi-FI"/>
        </w:rPr>
        <w:t xml:space="preserve">Tulkens, H. &amp; Eeckaut, P.V. 1995a. </w:t>
      </w:r>
      <w:r w:rsidRPr="009F2415">
        <w:t xml:space="preserve">Non-frontier measures of efficiency, progress and regress for time series data. </w:t>
      </w:r>
      <w:r w:rsidRPr="009F2415">
        <w:rPr>
          <w:u w:val="single"/>
        </w:rPr>
        <w:t>International Journal of Production Economics</w:t>
      </w:r>
      <w:r w:rsidRPr="009F2415">
        <w:t>, 39: 83-97.</w:t>
      </w:r>
    </w:p>
    <w:p w:rsidR="00BB595B" w:rsidRPr="009F2415" w:rsidRDefault="00BB595B" w:rsidP="00BB595B">
      <w:pPr>
        <w:ind w:left="720" w:hanging="720"/>
      </w:pPr>
    </w:p>
    <w:p w:rsidR="00BB595B" w:rsidRPr="009F2415" w:rsidRDefault="00BB595B" w:rsidP="00BB595B">
      <w:pPr>
        <w:ind w:left="720" w:hanging="720"/>
      </w:pPr>
      <w:r w:rsidRPr="009A3450">
        <w:rPr>
          <w:lang w:val="en-GB"/>
        </w:rPr>
        <w:t xml:space="preserve">Tulkens, H. &amp; Eeckaut, P.V. 1995b. </w:t>
      </w:r>
      <w:r w:rsidRPr="009F2415">
        <w:t xml:space="preserve">Non-parametric efficiency, progress and regress measures for panel data: Methodological aspects. </w:t>
      </w:r>
      <w:r w:rsidRPr="009F2415">
        <w:rPr>
          <w:u w:val="single"/>
        </w:rPr>
        <w:t>European Journal of Operational Research</w:t>
      </w:r>
      <w:r w:rsidRPr="009F2415">
        <w:t>, 80: 474-499.</w:t>
      </w:r>
    </w:p>
    <w:p w:rsidR="00BB595B" w:rsidRDefault="00BB595B" w:rsidP="009E275D"/>
    <w:p w:rsidR="00BB595B" w:rsidRPr="009F2415" w:rsidRDefault="00BB595B" w:rsidP="00BB595B">
      <w:pPr>
        <w:ind w:left="720" w:hanging="720"/>
      </w:pPr>
      <w:r>
        <w:t xml:space="preserve">Williamson, O. 1971. The vertical integration of production: Market failure considerations. </w:t>
      </w:r>
      <w:r w:rsidRPr="007701C0">
        <w:rPr>
          <w:u w:val="single"/>
        </w:rPr>
        <w:t>American Economic Review</w:t>
      </w:r>
      <w:r>
        <w:t>, 61: 112-123.</w:t>
      </w:r>
    </w:p>
    <w:p w:rsidR="00BB595B" w:rsidRPr="009F2415" w:rsidRDefault="00BB595B" w:rsidP="00BB595B">
      <w:r w:rsidRPr="009F2415">
        <w:br w:type="page"/>
      </w:r>
      <w:r w:rsidRPr="009F2415">
        <w:lastRenderedPageBreak/>
        <w:t>Figure 1. Production frontier in the time series context</w:t>
      </w:r>
    </w:p>
    <w:p w:rsidR="00BB595B" w:rsidRDefault="00BB595B" w:rsidP="00BB595B"/>
    <w:p w:rsidR="00BB595B" w:rsidRDefault="00BB595B" w:rsidP="00BB595B"/>
    <w:p w:rsidR="00BB595B" w:rsidRDefault="00BB595B" w:rsidP="00BB595B">
      <w:r>
        <w:rPr>
          <w:noProof/>
        </w:rPr>
        <w:pict>
          <v:group id="_x0000_s1026" style="position:absolute;margin-left:-9pt;margin-top:9pt;width:468pt;height:549pt;z-index:251656704" coordorigin="1620,2448" coordsize="9360,10980">
            <v:shape id="_x0000_s1027" style="position:absolute;left:2340;top:2448;width:8640;height:7020" coordsize="8640,7020" path="m,l,7020r8640,e" filled="f">
              <v:stroke startarrow="block" endarrow="block"/>
              <v:path arrowok="t"/>
            </v:shape>
            <v:oval id="_x0000_s1028" style="position:absolute;left:5580;top:7668;width:180;height:180" fillcolor="silver"/>
            <v:oval id="_x0000_s1029" style="position:absolute;left:5940;top:7308;width:180;height:180" fillcolor="silver"/>
            <v:oval id="_x0000_s1030" style="position:absolute;left:3420;top:4788;width:180;height:180" fillcolor="silver"/>
            <v:oval id="_x0000_s1031" style="position:absolute;left:4470;top:5793;width:180;height:180" fillcolor="silver"/>
            <v:oval id="_x0000_s1032" style="position:absolute;left:6120;top:6588;width:180;height:180" fillcolor="silver"/>
            <v:oval id="_x0000_s1033" style="position:absolute;left:4860;top:5328;width:180;height:180" fillcolor="silver"/>
            <v:line id="_x0000_s1034" style="position:absolute" from="4500,4248" to="5940,8748"/>
            <v:line id="_x0000_s1035" style="position:absolute" from="2880,4320" to="7560,8820">
              <v:stroke dashstyle="dash"/>
            </v:line>
            <v:shapetype id="_x0000_t202" coordsize="21600,21600" o:spt="202" path="m,l,21600r21600,l21600,xe">
              <v:stroke joinstyle="miter"/>
              <v:path gradientshapeok="t" o:connecttype="rect"/>
            </v:shapetype>
            <v:shape id="_x0000_s1036" type="#_x0000_t202" style="position:absolute;left:4755;top:4998;width:720;height:390" filled="f" stroked="f">
              <v:textbox style="mso-next-textbox:#_x0000_s1036">
                <w:txbxContent>
                  <w:p w:rsidR="006E509E" w:rsidRDefault="006E509E" w:rsidP="00BB595B">
                    <w:r>
                      <w:t>A</w:t>
                    </w:r>
                    <w:r w:rsidRPr="00BD4FA2">
                      <w:rPr>
                        <w:vertAlign w:val="subscript"/>
                      </w:rPr>
                      <w:t>t-1</w:t>
                    </w:r>
                  </w:p>
                </w:txbxContent>
              </v:textbox>
            </v:shape>
            <v:shape id="_x0000_s1037" type="#_x0000_t202" style="position:absolute;left:5580;top:7848;width:720;height:390" filled="f" stroked="f">
              <v:textbox style="mso-next-textbox:#_x0000_s1037">
                <w:txbxContent>
                  <w:p w:rsidR="006E509E" w:rsidRDefault="006E509E" w:rsidP="00BB595B">
                    <w:r w:rsidRPr="00026CBB">
                      <w:t>B</w:t>
                    </w:r>
                    <w:r w:rsidRPr="00BD4FA2">
                      <w:rPr>
                        <w:vertAlign w:val="subscript"/>
                      </w:rPr>
                      <w:t>t-1</w:t>
                    </w:r>
                  </w:p>
                </w:txbxContent>
              </v:textbox>
            </v:shape>
            <v:shape id="_x0000_s1038" type="#_x0000_t202" style="position:absolute;left:5940;top:6948;width:720;height:390" filled="f" stroked="f">
              <v:textbox style="mso-next-textbox:#_x0000_s1038">
                <w:txbxContent>
                  <w:p w:rsidR="006E509E" w:rsidRDefault="006E509E" w:rsidP="00BB595B">
                    <w:r>
                      <w:t>F</w:t>
                    </w:r>
                    <w:r w:rsidRPr="00BD4FA2">
                      <w:rPr>
                        <w:vertAlign w:val="subscript"/>
                      </w:rPr>
                      <w:t>t-1</w:t>
                    </w:r>
                  </w:p>
                </w:txbxContent>
              </v:textbox>
            </v:shape>
            <v:shape id="_x0000_s1039" type="#_x0000_t202" style="position:absolute;left:3420;top:4608;width:720;height:390" filled="f" stroked="f">
              <v:textbox style="mso-next-textbox:#_x0000_s1039">
                <w:txbxContent>
                  <w:p w:rsidR="006E509E" w:rsidRDefault="006E509E" w:rsidP="00BB595B">
                    <w:r>
                      <w:t xml:space="preserve"> A</w:t>
                    </w:r>
                    <w:r w:rsidRPr="00BD4FA2">
                      <w:rPr>
                        <w:vertAlign w:val="subscript"/>
                      </w:rPr>
                      <w:t>t</w:t>
                    </w:r>
                  </w:p>
                </w:txbxContent>
              </v:textbox>
            </v:shape>
            <v:shape id="_x0000_s1040" type="#_x0000_t202" style="position:absolute;left:4290;top:5433;width:720;height:390" filled="f" stroked="f">
              <v:textbox style="mso-next-textbox:#_x0000_s1040">
                <w:txbxContent>
                  <w:p w:rsidR="006E509E" w:rsidRDefault="006E509E" w:rsidP="00BB595B">
                    <w:r w:rsidRPr="00026CBB">
                      <w:t>B</w:t>
                    </w:r>
                    <w:r>
                      <w:rPr>
                        <w:vertAlign w:val="subscript"/>
                      </w:rPr>
                      <w:t>t</w:t>
                    </w:r>
                  </w:p>
                </w:txbxContent>
              </v:textbox>
            </v:shape>
            <v:shape id="_x0000_s1041" type="#_x0000_t202" style="position:absolute;left:6120;top:6228;width:720;height:390" filled="f" stroked="f">
              <v:textbox style="mso-next-textbox:#_x0000_s1041">
                <w:txbxContent>
                  <w:p w:rsidR="006E509E" w:rsidRDefault="006E509E" w:rsidP="00BB595B">
                    <w:r>
                      <w:t>F</w:t>
                    </w:r>
                    <w:r w:rsidRPr="00BD4FA2">
                      <w:rPr>
                        <w:vertAlign w:val="subscript"/>
                      </w:rPr>
                      <w:t>t</w:t>
                    </w:r>
                  </w:p>
                </w:txbxContent>
              </v:textbox>
            </v:shape>
            <v:line id="_x0000_s1042" style="position:absolute" from="3240,4248" to="4680,8748">
              <v:stroke dashstyle="1 1" endcap="round"/>
            </v:line>
            <v:shape id="_x0000_s1043" type="#_x0000_t202" style="position:absolute;left:1620;top:2448;width:720;height:3600" filled="f" stroked="f">
              <v:textbox style="layout-flow:vertical;mso-layout-flow-alt:bottom-to-top;mso-next-textbox:#_x0000_s1043">
                <w:txbxContent>
                  <w:p w:rsidR="006E509E" w:rsidRDefault="006E509E" w:rsidP="00BB595B">
                    <w:pPr>
                      <w:jc w:val="right"/>
                    </w:pPr>
                    <w:r>
                      <w:t>Input 1 per unit of output</w:t>
                    </w:r>
                  </w:p>
                </w:txbxContent>
              </v:textbox>
            </v:shape>
            <v:shape id="_x0000_s1044" type="#_x0000_t202" style="position:absolute;left:6840;top:9468;width:4140;height:720" filled="f" stroked="f">
              <v:textbox style="mso-next-textbox:#_x0000_s1044">
                <w:txbxContent>
                  <w:p w:rsidR="006E509E" w:rsidRDefault="006E509E" w:rsidP="00BB595B">
                    <w:pPr>
                      <w:jc w:val="right"/>
                    </w:pPr>
                    <w:r>
                      <w:t>Input 2 per unit of output</w:t>
                    </w:r>
                  </w:p>
                </w:txbxContent>
              </v:textbox>
            </v:shape>
            <v:line id="_x0000_s1045" style="position:absolute" from="2340,10368" to="5040,10368"/>
            <v:line id="_x0000_s1046" style="position:absolute" from="2340,11448" to="5040,11448">
              <v:stroke dashstyle="dash"/>
            </v:line>
            <v:line id="_x0000_s1047" style="position:absolute" from="2340,12528" to="5040,12528">
              <v:stroke dashstyle="1 1" endcap="round"/>
            </v:line>
            <v:shape id="_x0000_s1048" type="#_x0000_t202" style="position:absolute;left:5040;top:10188;width:5940;height:1080" filled="f" stroked="f">
              <v:textbox style="mso-next-textbox:#_x0000_s1048">
                <w:txbxContent>
                  <w:p w:rsidR="006E509E" w:rsidRPr="000A0FA5" w:rsidRDefault="006E509E" w:rsidP="00BB595B">
                    <w:pPr>
                      <w:rPr>
                        <w:sz w:val="22"/>
                      </w:rPr>
                    </w:pPr>
                    <w:r w:rsidRPr="000A0FA5">
                      <w:rPr>
                        <w:sz w:val="22"/>
                      </w:rPr>
                      <w:t>(1) Production frontier in year (</w:t>
                    </w:r>
                    <w:r w:rsidRPr="000A0FA5">
                      <w:rPr>
                        <w:i/>
                        <w:sz w:val="22"/>
                      </w:rPr>
                      <w:t>t</w:t>
                    </w:r>
                    <w:r w:rsidRPr="000A0FA5">
                      <w:rPr>
                        <w:sz w:val="22"/>
                      </w:rPr>
                      <w:t>-1) is determined by firms A and B. Firm F’s performance is clearly inefficient under this frontier</w:t>
                    </w:r>
                  </w:p>
                </w:txbxContent>
              </v:textbox>
            </v:shape>
            <v:shape id="_x0000_s1049" type="#_x0000_t202" style="position:absolute;left:5040;top:11268;width:5940;height:1080" filled="f" stroked="f">
              <v:textbox style="mso-next-textbox:#_x0000_s1049">
                <w:txbxContent>
                  <w:p w:rsidR="006E509E" w:rsidRPr="00F25563" w:rsidRDefault="006E509E" w:rsidP="00BB595B">
                    <w:pPr>
                      <w:rPr>
                        <w:sz w:val="22"/>
                      </w:rPr>
                    </w:pPr>
                    <w:r w:rsidRPr="00F25563">
                      <w:rPr>
                        <w:sz w:val="22"/>
                      </w:rPr>
                      <w:t xml:space="preserve">(2) Production frontier in year </w:t>
                    </w:r>
                    <w:r w:rsidRPr="00F25563">
                      <w:rPr>
                        <w:i/>
                        <w:sz w:val="22"/>
                      </w:rPr>
                      <w:t>t</w:t>
                    </w:r>
                    <w:r w:rsidRPr="00F25563">
                      <w:rPr>
                        <w:sz w:val="22"/>
                      </w:rPr>
                      <w:t xml:space="preserve"> as determined by firms A and B. As could be seen, firm F’s performance in year (</w:t>
                    </w:r>
                    <w:r w:rsidRPr="00F25563">
                      <w:rPr>
                        <w:i/>
                        <w:sz w:val="22"/>
                      </w:rPr>
                      <w:t>t</w:t>
                    </w:r>
                    <w:r w:rsidRPr="00F25563">
                      <w:rPr>
                        <w:sz w:val="22"/>
                      </w:rPr>
                      <w:t>-1) would have qualified as efficient under such frontier.</w:t>
                    </w:r>
                  </w:p>
                </w:txbxContent>
              </v:textbox>
            </v:shape>
            <v:shape id="_x0000_s1050" type="#_x0000_t202" style="position:absolute;left:5040;top:12348;width:5940;height:1080" filled="f" stroked="f">
              <v:textbox style="mso-next-textbox:#_x0000_s1050">
                <w:txbxContent>
                  <w:p w:rsidR="006E509E" w:rsidRPr="00F25563" w:rsidRDefault="006E509E" w:rsidP="00BB595B">
                    <w:pPr>
                      <w:rPr>
                        <w:sz w:val="22"/>
                      </w:rPr>
                    </w:pPr>
                    <w:r w:rsidRPr="00F25563">
                      <w:rPr>
                        <w:sz w:val="22"/>
                      </w:rPr>
                      <w:t xml:space="preserve">(3) Production frontier in year </w:t>
                    </w:r>
                    <w:r w:rsidRPr="00F25563">
                      <w:rPr>
                        <w:i/>
                        <w:sz w:val="22"/>
                      </w:rPr>
                      <w:t>t</w:t>
                    </w:r>
                    <w:r w:rsidRPr="00F25563">
                      <w:rPr>
                        <w:sz w:val="22"/>
                      </w:rPr>
                      <w:t xml:space="preserve"> as determined by firm A; the slope is identical to the (</w:t>
                    </w:r>
                    <w:r w:rsidRPr="00F25563">
                      <w:rPr>
                        <w:i/>
                        <w:sz w:val="22"/>
                      </w:rPr>
                      <w:t>t</w:t>
                    </w:r>
                    <w:r w:rsidRPr="00F25563">
                      <w:rPr>
                        <w:sz w:val="22"/>
                      </w:rPr>
                      <w:t>-1)’s frontier. As could be seen, firm F’s performance no longer qualifies as efficient.</w:t>
                    </w:r>
                  </w:p>
                </w:txbxContent>
              </v:textbox>
            </v:shape>
            <v:shape id="_x0000_s1051" type="#_x0000_t202" style="position:absolute;left:4320;top:8820;width:720;height:540" filled="f" stroked="f">
              <v:textbox>
                <w:txbxContent>
                  <w:p w:rsidR="006E509E" w:rsidRDefault="006E509E" w:rsidP="00BB595B">
                    <w:pPr>
                      <w:jc w:val="center"/>
                    </w:pPr>
                    <w:r>
                      <w:t>(3)</w:t>
                    </w:r>
                  </w:p>
                </w:txbxContent>
              </v:textbox>
            </v:shape>
            <v:shape id="_x0000_s1052" type="#_x0000_t202" style="position:absolute;left:5580;top:8820;width:720;height:540" filled="f" stroked="f">
              <v:textbox>
                <w:txbxContent>
                  <w:p w:rsidR="006E509E" w:rsidRDefault="006E509E" w:rsidP="00BB595B">
                    <w:pPr>
                      <w:jc w:val="center"/>
                    </w:pPr>
                    <w:r>
                      <w:t>(2)</w:t>
                    </w:r>
                  </w:p>
                </w:txbxContent>
              </v:textbox>
            </v:shape>
            <v:shape id="_x0000_s1053" type="#_x0000_t202" style="position:absolute;left:7200;top:8820;width:720;height:540" filled="f" stroked="f">
              <v:textbox>
                <w:txbxContent>
                  <w:p w:rsidR="006E509E" w:rsidRDefault="006E509E" w:rsidP="00BB595B">
                    <w:pPr>
                      <w:jc w:val="center"/>
                    </w:pPr>
                    <w:r>
                      <w:t>(1)</w:t>
                    </w:r>
                  </w:p>
                </w:txbxContent>
              </v:textbox>
            </v:shape>
          </v:group>
        </w:pict>
      </w:r>
    </w:p>
    <w:p w:rsidR="00BB595B" w:rsidRDefault="00BB595B" w:rsidP="00BB595B">
      <w:pPr>
        <w:spacing w:line="480" w:lineRule="auto"/>
        <w:ind w:firstLine="720"/>
        <w:sectPr w:rsidR="00BB595B" w:rsidSect="00AB75AA">
          <w:footerReference w:type="even" r:id="rId27"/>
          <w:footerReference w:type="default" r:id="rId28"/>
          <w:pgSz w:w="12240" w:h="15840"/>
          <w:pgMar w:top="1440" w:right="1800" w:bottom="1440" w:left="1440" w:header="720" w:footer="720" w:gutter="0"/>
          <w:pgNumType w:start="1"/>
          <w:cols w:space="720"/>
          <w:docGrid w:linePitch="360"/>
        </w:sectPr>
      </w:pPr>
    </w:p>
    <w:p w:rsidR="00BB595B" w:rsidRPr="00A7460E" w:rsidRDefault="00BB595B" w:rsidP="00BB595B">
      <w:pPr>
        <w:spacing w:line="480" w:lineRule="auto"/>
        <w:ind w:firstLine="720"/>
      </w:pPr>
      <w:r w:rsidRPr="00A7460E">
        <w:lastRenderedPageBreak/>
        <w:t>Figure 2. Arbitrage opportunities across industries</w:t>
      </w:r>
    </w:p>
    <w:p w:rsidR="00BB595B" w:rsidRPr="00A7460E" w:rsidRDefault="00BB595B" w:rsidP="00BB595B">
      <w:pPr>
        <w:spacing w:line="480" w:lineRule="auto"/>
        <w:ind w:firstLine="720"/>
      </w:pPr>
      <w:r>
        <w:rPr>
          <w:noProof/>
        </w:rPr>
        <w:pict>
          <v:shape id="C 1" o:spid="_x0000_s1054" type="#_x0000_t75" style="position:absolute;left:0;text-align:left;margin-left:36pt;margin-top:8.4pt;width:512.65pt;height:349.9pt;z-index:251657728;visibility:visible" o:gfxdata="UEsDBBQABgAIAAAAIQCkN5cPHgEAAF4CAAATAAAAW0NvbnRlbnRfVHlwZXNdLnhtbIxSyW7CMBC9&#10;V+o/WL5W2IFDVVVJODT02FYV/QDLniwiXuQxAf6+kwAHqgo4WfbMW+aN8+Xe9myAiJ13BZ+LjDNw&#10;2pvONQX/Wb/PXjjDpJxRvXdQ8AMgX5aPD/n6EAAZoR0WvE0pvEqJugWrUPgAjiq1j1YlusZGBqU3&#10;qgG5yLJnqb1L4NIsjRy8zCuo1bZPbLWn56MTgnP2duwbpQquQug7rRIZlWNVlvknGY+dAfalYvpQ&#10;lrqkiShh4SuvxXWOwRlhcebrutMgqoirCfV0g1u3pIVyOuZ3SFxmcZIzXm8tJSBMVDuK2vZiIrwl&#10;bvzORRjukL2YrCLYNwxn9n/ijtDjlbzHrP4MclqoIOS0E2y7gGcFOf2O8hc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NHBitXcAAAABQEAAA8AAABkcnMvZG93&#10;bnJldi54bWxMj0FLw0AQhe+C/2EZwZvdNWgMMZsiouBNbER63GanSWp2Nma3aeyvd+xFLwOP93jv&#10;m2I5u15MOIbOk4brhQKBVHvbUaPhvXq+ykCEaMia3hNq+MYAy/L8rDC59Qd6w2kVG8ElFHKjoY1x&#10;yKUMdYvOhIUfkNjb+tGZyHJspB3NgctdLxOlUulMR7zQmgEfW6w/V3un4WZ3nF9v7Uu2pulYVfiU&#10;rL/kh9aXF/PDPYiIc/wLwy8+o0PJTBu/JxtEr4EfiafLXpbeJSA2GlKVKZBlIf/Tlz8AAAD//wMA&#10;UEsDBBQABgAIAAAAIQCvHTzdDAEAADYCAAAOAAAAZHJzL2Uyb0RvYy54bWyckcFqwzAQRO+F/oPY&#10;eyPHUJOYyLmEQE+9tB+wlVa2wJbESqnbv6+apCU9FXyb3YHH7Oxu/zGN4p04ueAVrFcVCPI6GOd7&#10;Ba8vx4cNiJTRGxyDJwWflGDf3d/t5thSHYYwGmJRID61c1Qw5BxbKZMeaMK0CpF8MW3gCXMZuZeG&#10;cS70aZR1VTVyDmwiB00ple3hYkJ35ltLOj9bmyiLsaSr19saRFbQVNsGBP+INwWP1QZkt8O2Z4yD&#10;09dIuCDRhM6XAL+oA2YUJ3YLUHpAzoWl27O6htKLSVdAOfz/noO1TtMh6NNEPl/KZhoxl0+nwcVU&#10;CmydUcBPZv3dnfxz8e1c9O27uy8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NXquj&#10;GQEAAKwBAAAgAAAAZHJzL2NoYXJ0cy9fcmVscy9jaGFydDEueG1sLnJlbHOEkE1Lw0AQhu+C/yEs&#10;eLSb9CCyNCmaKlQIKW30KuNmmqzdj7CzLc2/dxUqLQheBubreeed2fxodHJAT8rZnGWTlCVopWuV&#10;7XL22jzf3rOEAtgWtLOYsxGJzYvrq9kaNYS4RL0aKIkUSznrQxgE5yR7NEATN6CNna3zBkJMfccH&#10;kDvokE/T9I77cwYrLpjJss2ZX7YZS5pxiMr/s912qyQunNwbtOEPCe401h+fKEOEgu8w5Oyxrpvy&#10;oVqJ0x7dTNPoN8YNhhD/QILAul2vrKjGWP4dFGskBC97Ub6VYgUD+tjO0hgaZfCH4BV+A1/qSiwg&#10;wDs5fcBWbPbGgB8nR02nUyrXRpdPx4Degma8mPGLHxdfAAAA//8DAFBLAwQUAAYACAAAACEA6MqD&#10;2H4GAADeEQAAFQAAAGRycy9jaGFydHMvY2hhcnQxLnhtbJxYbW/bNhD+PmD/QTOKfWplkXrP6hRZ&#10;srQBOjRI0g7YN1qiY62UqFFU6uzX76EoKk5bJUbjwJAo3h3vnufudH79ZlcL746rrpLNakH8YOHx&#10;ppBl1dyuFh9vzl9lC6/TrCmZkA1fLe55t3hz/PNPr4ujYsuUvm5ZwT0oabqjYrXYat0eLZddseU1&#10;63zZ8gbPNlLVTONW3S5Lxb5AeS2WNAiS5aBkMSpgP6CgZlXj5NUh8nKzqQp+Jou+5o22p1BcMI0I&#10;dNuq7RbHcK5kmpM8iLw7JhCXxdIsCtbc2gXevPp4bRc7fS/4uC2zS4NTRoD1Wt5UWvAzLrjm5SNt&#10;rZD6RHFmNd/LXg9G1kydmsiaZVyfVcpK4dpqv1WybxFCu1yIvtNc8XI8DVdGsCp39nFgl6Uq+ahn&#10;XNE7s+/u+EStK63YLfdk20ql+6bSFe9eL81D8203du0lFLOjToqqPK+EGG7U7fpUjHrPzwP8GXPL&#10;R9ugwgqDMWzwqtPqim+M+c3x9ZZzTX558f4FPTJfqTE5PMOuUwYemX2tPpV9o61LNLE+tdqDm6tF&#10;MAB2d3yJqNVgY6+rggmvakpERt0/eNIO1p0YGcUuGktPwO91XN2BHHveP5aho8y13OgvTHGv7dei&#10;6rbInzkz4ShyKuu2B1DewDVQ4Tlb0STYdL3QBvBfWd3+5rES+aqrzqzMWY3dQXldFRKRKLRUXs2a&#10;fsMK3SvIzokmk93xwCU3MTlMOB2FL3vRvvRa1sJhFA97tZZMlXNmswezNTgIqhhA+L991Zo8Pcx8&#10;Piq5QboVsn5Q1HkFU6p6AifiaHSK0jUQ6KBoEUejj7oSQ+bMYkIm9rS8qMDQB+cO8444Lv0B77SS&#10;NS+Hgz7oOezIjlnvrgZsUN5REkGm5xhJHKuuuGaV8FA2Sj6HJ3E8urB5aBxGdm6rhqv7A/11bLr5&#10;9NKDrUq+BIxrVNtnT+rYdFIYGkhUc8Mmw8SNlM/nHnFEOje7jViJlPncHXZu6qj0TnZtpZnoBhVb&#10;zoTegocP55/lCnW0Qt0ztH3WY+rI9ddWCt4xBOlJeKjj0qWtYAb/5yomdcQ5QU+C9qYzDWMI7RwL&#10;qKPMCTphLdcVzmXCqVVffH4qmqZrTA3A3gw9A5djF0FjNq2h6etvmslb00zw9dBMsGtqJrbcn8qS&#10;Hwd+EJij7y0d2m1o5odplkRRnkQxDeNkLgQOSZr6aR5mJEgDfOVpNCfgkCSxb1RHMQlhJY/InICD&#10;klA/yDOaxPikQZgM7tsm/riNORyNQJAmOY3TOIqTJJuz4FAkxM9pQOFGRtM4DeicgEt+EsDpOKDG&#10;kTybd8Fleu5nUZbnSUiiLIogOGfAJXjqkwwohElOojiO6ayAy+jET9I8SUhOaBzScBaFqR8kPk5P&#10;cJSYJDmCOg+0QzrxgzjBP4nTkOZBNovD1BGAdAIX4iTMwamUxnNuTy0g9qMsy/DCFUdZmuVP2HBg&#10;R35MwDoK36MgTPNZsKcyH/kRxZESnC3DZ94Nh3bkkzCgNEW0ojScZzhxcId+GEYkp0lGAwCez1Kc&#10;OLxDn5AgCKMQiRHQLA9nI+UAD/0goTCTx1lKMvBqTmIq29TPAyQq3ACEwHzWxlSlqZ+CGJRGEZwH&#10;UWZNuNyGQAg60YzmCf7j+UO55KZ+kmVxmoQhDMChWRpOVRrJHedpnqImRODVfIWaijTxI+xFAqYB&#10;MgkxfuwHCuVDHbU3riYPxRhLaMymKLPdhZt1gFFAkjgcX9q/eoIZMKXDzDAMO9Pggxp/MgwoX+3f&#10;09ThJR9dy5iTaJGNbUR2RKir5k+2G/XubWS7S9nZLcIOEdgp1VtVldDFO6PMTTqiMSNOI82wY4ca&#10;s2J8HEYhXHwri8nj8/u1mIw0fKdvpLWkd3aCWsvy/lJBIzsSnb420+Nw05qVccoq+ebqEk3/v9UC&#10;OT74MT3jTXnJFDPPzTy6WkyzKOYuKMHBrCl0SiW77mScBIlBYor3+JCP0TCD6t9cjUc1dzZKbvBd&#10;ixNx29g1vHpaj8RafNhsOj7OZcjL4aRDh7bogRbfhXHvGHvo/AiMa3uUmv2zByPiOVD1vNZ43zO/&#10;PZhuj0kR7Q4/Z+CVquDv8T7Hy2m0fwq5b8O4R8Ph4ffDODz6nesvnI+hW9ubMUxjdADY/k8B5vpT&#10;1X1oxP0eBtg0/aoAUnHVMHHGNPMUZv3VQl2UA1Ru2/CzzPH/AAAA//8DAFBLAQItABQABgAIAAAA&#10;IQCkN5cPHgEAAF4CAAATAAAAAAAAAAAAAAAAAAAAAABbQ29udGVudF9UeXBlc10ueG1sUEsBAi0A&#10;FAAGAAgAAAAhADj9If/WAAAAlAEAAAsAAAAAAAAAAAAAAAAATwEAAF9yZWxzLy5yZWxzUEsBAi0A&#10;FAAGAAgAAAAhANHBitXcAAAABQEAAA8AAAAAAAAAAAAAAAAATgIAAGRycy9kb3ducmV2LnhtbFBL&#10;AQItABQABgAIAAAAIQCvHTzdDAEAADYCAAAOAAAAAAAAAAAAAAAAAFcDAABkcnMvZTJvRG9jLnht&#10;bFBLAQItABQABgAIAAAAIQCrFs1GuQAAACIBAAAZAAAAAAAAAAAAAAAAAI8EAABkcnMvX3JlbHMv&#10;ZTJvRG9jLnhtbC5yZWxzUEsBAi0AFAAGAAgAAAAhAI1eq6MZAQAArAEAACAAAAAAAAAAAAAAAAAA&#10;fwUAAGRycy9jaGFydHMvX3JlbHMvY2hhcnQxLnhtbC5yZWxzUEsBAi0AFAAGAAgAAAAhAOjKg9h+&#10;BgAA3hEAABUAAAAAAAAAAAAAAAAA1gYAAGRycy9jaGFydHMvY2hhcnQxLnhtbFBLBQYAAAAABwAH&#10;AMsBAACHDQAAAAA=&#10;">
            <v:imagedata r:id="rId29" o:title=""/>
            <o:lock v:ext="edit" aspectratio="f"/>
            <w10:wrap type="square"/>
          </v:shape>
        </w:pict>
      </w:r>
      <w:r>
        <w:br w:type="page"/>
      </w:r>
      <w:r w:rsidRPr="00A7460E">
        <w:lastRenderedPageBreak/>
        <w:t>Figure 3. Arbitrage opportunity dynamics (averaged across industries)</w:t>
      </w:r>
    </w:p>
    <w:p w:rsidR="00BB595B" w:rsidRDefault="00BB595B" w:rsidP="00BB595B">
      <w:pPr>
        <w:spacing w:line="480" w:lineRule="auto"/>
        <w:ind w:firstLine="720"/>
      </w:pPr>
      <w:r>
        <w:rPr>
          <w:noProof/>
        </w:rPr>
        <w:pict>
          <v:shape id="C 2" o:spid="_x0000_s1055" type="#_x0000_t75" style="position:absolute;left:0;text-align:left;margin-left:-9pt;margin-top:8.4pt;width:433.45pt;height:279pt;z-index:251658752;visibility:visible;mso-wrap-edited:f" wrapcoords="-37 0 -37 21483 21600 21483 21600 0 -37 0" o:gfxdata="UEsDBBQABgAIAAAAIQCkN5cPHgEAAF4CAAATAAAAW0NvbnRlbnRfVHlwZXNdLnhtbIxSyW7CMBC9&#10;V+o/WL5W2IFDVVVJODT02FYV/QDLniwiXuQxAf6+kwAHqgo4WfbMW+aN8+Xe9myAiJ13BZ+LjDNw&#10;2pvONQX/Wb/PXjjDpJxRvXdQ8AMgX5aPD/n6EAAZoR0WvE0pvEqJugWrUPgAjiq1j1YlusZGBqU3&#10;qgG5yLJnqb1L4NIsjRy8zCuo1bZPbLWn56MTgnP2duwbpQquQug7rRIZlWNVlvknGY+dAfalYvpQ&#10;lrqkiShh4SuvxXWOwRlhcebrutMgqoirCfV0g1u3pIVyOuZ3SFxmcZIzXm8tJSBMVDuK2vZiIrwl&#10;bvzORRjukL2YrCLYNwxn9n/ijtDjlbzHrP4MclqoIOS0E2y7gGcFOf2O8hc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Keh6oLcAAAABQEAAA8AAABkcnMvZG93&#10;bnJldi54bWxMj8FOwzAQRO9I/IO1lbgg6jQ0aRTiVAgE6pWA1Ksbb5PQeB3ibZv+PYYLXFYazWjm&#10;bbGebC9OOPrOkYLFPAKBVDvTUaPg4/3lLgPhWZPRvSNUcEEP6/L6qtC5cWd6w1PFjQgl5HOtoGUe&#10;cil93aLVfu4GpODt3Wg1Bzk20oz6HMptL+MoSqXVHYWFVg/41GJ9qI5WwXN1myzcq998fXKc3l84&#10;86ttrdTNbHp8AME48V8YfvADOpSBaeeOZLzoFYRH+PcGL0tXMYidgiTJliDLQv6nL78BAAD//wMA&#10;UEsDBBQABgAIAAAAIQCPnEJhDAEAADcCAAAOAAAAZHJzL2Uyb0RvYy54bWyckcFOwzAQRO9I/IO1&#10;d+okh6iN6vRSIXHiAh+w2OvEUmJba5fA32PagsoJKbfZHelpdnZ/+Jgn8U6cXPAK6k0FgrwOxvlB&#10;wevL48MWRMroDU7Bk4JPSnDo7+/2S+yoCWOYDLEoEJ+6JSoYc46dlEmPNGPahEi+mDbwjLmMPEjD&#10;uBT6PMmmqlq5BDaRg6aUyvZ4MaE/860lnZ+tTZTFVNI19a4BkRW01a4FwT/iTUHTbFuQ/R67gTGO&#10;Tl8z4YpIMzpfEvyijphRnNitQOkROReW7s7qGkqvJl0B5fL/iw7WOk3HoE8z+Xxpm2nCXF6dRhdT&#10;abBzRgE/mfq7O/nn4tu56Nt/918AAAD//wMAUEsDBBQABgAIAAAAIQCrFs1GuQAAACIBAAAZAAAA&#10;ZHJzL19yZWxzL2Uyb0RvYy54bWwucmVsc4SPzQrCMBCE74LvEPZu03oQkSa9iNCr1AdY0u0PtknI&#10;RrFvb9CLguBxdphvdsrqMU/iToFHZxUUWQ6CrHHtaHsFl+a02YPgiLbFyVlSsBBDpder8kwTxhTi&#10;YfQsEsWygiFGf5CSzUAzcuY82eR0LswYkwy99Giu2JPc5vlOhk8G6C+mqFsFoW4LEM3iU/N/tuu6&#10;0dDRmdtMNv6okGbAEBMQQ09RwUvy+1pk6VOQupRfy/QTAAD//wMAUEsDBBQABgAIAAAAIQCNXquj&#10;GQEAAKwBAAAgAAAAZHJzL2NoYXJ0cy9fcmVscy9jaGFydDEueG1sLnJlbHOEkE1Lw0AQhu+C/yEs&#10;eLSb9CCyNCmaKlQIKW30KuNmmqzdj7CzLc2/dxUqLQheBubreeed2fxodHJAT8rZnGWTlCVopWuV&#10;7XL22jzf3rOEAtgWtLOYsxGJzYvrq9kaNYS4RL0aKIkUSznrQxgE5yR7NEATN6CNna3zBkJMfccH&#10;kDvokE/T9I77cwYrLpjJss2ZX7YZS5pxiMr/s912qyQunNwbtOEPCe401h+fKEOEgu8w5Oyxrpvy&#10;oVqJ0x7dTNPoN8YNhhD/QILAul2vrKjGWP4dFGskBC97Ub6VYgUD+tjO0hgaZfCH4BV+A1/qSiwg&#10;wDs5fcBWbPbGgB8nR02nUyrXRpdPx4Degma8mPGLHxdfAAAA//8DAFBLAwQUAAYACAAAACEAh+/c&#10;kMsDAADECQAAFQAAAGRycy9jaGFydHMvY2hhcnQxLnhtbLxWW4/aOBR+X2n/Qzaa10IukAsaqCgj&#10;qkpdFXWm+9A3kxzAO44d2WYK/fV7fAkEWtqqD8tDFB9/5+LvHH/h/vWhYcELSEUFn4bxIAoD4JWo&#10;Kd9Ow09Py1dFGChNeE2Y4DANj6DC17M//7ivJtWOSP3YkgoCDMLVpJqGO63byXCoqh00RA1ECxz3&#10;NkI2RONSboe1JF8weMOGSRRlQxsk9AHIbwRoCOWdv/wVf7HZ0AoeRLVvgGtXhQRGNDKgdrRV4QwP&#10;VxMNcRmNghfCkJdwaIyM8K0zAH/16dEZlT4y8LDCmeyhjAPZa/FENYMHYKChvojWMqHnEoiLfBR7&#10;7ZJQDgtDrbFvpdi3SJdzxEZUz1D7vCANgtYHtxk5s5A1yAuLPhjcy2yObSZbCIhcU23fRNsKqfec&#10;agrqfmhA5ukcVLvCBGTCuHkqwWi9pIzZhdyuF8xnWS4j/JnkwwsYrowrxnORqklD5LMrWh2btcC5&#10;M9xynCvr3QdUxB6f75uPsDHlb2aPOwAd/3X35i4pJ3dLfJrYdhNhC4IjZ4F21haihtlb4HhiZmFn&#10;KwZr9ULsuXb5x463VgdI5TSMbPtfZnFZFoPI+DpSWltQh4rPqPI2KvEonPToNio9o/D+3co4OqOS&#10;axQWeabALSxt+OqJRKYNOTf4LCyfxc/4xDPY8tx1thT/IpnloCzLvByNoyJJx3GU3Tplx2s+SLM0&#10;SvN0NBqlSZQntxw6irNBWZRRnmV5nkRJehPfkZ0NxmWexVk2zuJ8VCbjWwk63otBjHpV5FlalqP8&#10;Cv6DBnjmVSOE3rmJs2qCLspdBncteluoG4d3nVYkoxjPk6aZG9PeTpxHxRhrtzsYjvWFA/s+t/e+&#10;53AVSlUEXbZmLoSkqIVWAl0dDeV/k4O/lj0gOayEcpC1KwhHatno4DwT09DfO/xwiL2s4D3lKFon&#10;EdW0en6/Zqc4HA76Sbhg+uA0Zy3q40qipKCGKP1oFNYuWmPxulTD5uNKBuorRs5OAuQ3gdcrIokB&#10;GNGehifBRlnCKEiXy4U3RAql5l5E4wtS/Sb4Exs1/wzS12pWF01jazZnW+5slZbuSGj9sNko8GqD&#10;Q2TsmP/UIZyQb1p1VUavAz9oFQoo9ekz/JC7ND3XXvOYK64h/wr5VtLazI4yk3Cp+lwYyTeBrsQc&#10;6//W9zujYCTjf5wDFFp77NOQ/PYcXN0VOyTfnwO79Qb0FwBP/totfAN8e5Gx/gffvP9D1QfOjr0h&#10;MmPRffrxWoDkhD0QTQKJ3/lpKN/VnXZYmP3zNfsPAAD//wMAUEsBAi0AFAAGAAgAAAAhAKQ3lw8e&#10;AQAAXgIAABMAAAAAAAAAAAAAAAAAAAAAAFtDb250ZW50X1R5cGVzXS54bWxQSwECLQAUAAYACAAA&#10;ACEAOP0h/9YAAACUAQAACwAAAAAAAAAAAAAAAABPAQAAX3JlbHMvLnJlbHNQSwECLQAUAAYACAAA&#10;ACEAp6HqgtwAAAAFAQAADwAAAAAAAAAAAAAAAABOAgAAZHJzL2Rvd25yZXYueG1sUEsBAi0AFAAG&#10;AAgAAAAhAI+cQmEMAQAANwIAAA4AAAAAAAAAAAAAAAAAVwMAAGRycy9lMm9Eb2MueG1sUEsBAi0A&#10;FAAGAAgAAAAhAKsWzUa5AAAAIgEAABkAAAAAAAAAAAAAAAAAjwQAAGRycy9fcmVscy9lMm9Eb2Mu&#10;eG1sLnJlbHNQSwECLQAUAAYACAAAACEAjV6roxkBAACsAQAAIAAAAAAAAAAAAAAAAAB/BQAAZHJz&#10;L2NoYXJ0cy9fcmVscy9jaGFydDEueG1sLnJlbHNQSwECLQAUAAYACAAAACEAh+/ckMsDAADECQAA&#10;FQAAAAAAAAAAAAAAAADWBgAAZHJzL2NoYXJ0cy9jaGFydDEueG1sUEsFBgAAAAAHAAcAywEAANQK&#10;AAAAAA==&#10;">
            <v:imagedata r:id="rId30" o:title=""/>
            <o:lock v:ext="edit" aspectratio="f"/>
            <w10:wrap type="tight"/>
          </v:shape>
        </w:pict>
      </w:r>
    </w:p>
    <w:p w:rsidR="00BB595B" w:rsidRDefault="00BB595B" w:rsidP="00BB595B">
      <w:pPr>
        <w:spacing w:line="480" w:lineRule="auto"/>
        <w:ind w:firstLine="720"/>
      </w:pPr>
    </w:p>
    <w:p w:rsidR="00BB595B" w:rsidRDefault="00BB595B" w:rsidP="00BB595B">
      <w:pPr>
        <w:spacing w:line="480" w:lineRule="auto"/>
        <w:ind w:firstLine="720"/>
      </w:pPr>
    </w:p>
    <w:p w:rsidR="00BB595B" w:rsidRDefault="00BB595B" w:rsidP="00BB595B">
      <w:pPr>
        <w:spacing w:line="480" w:lineRule="auto"/>
        <w:ind w:firstLine="720"/>
      </w:pPr>
    </w:p>
    <w:p w:rsidR="00BB595B" w:rsidRPr="00A7460E" w:rsidRDefault="00BB595B" w:rsidP="00BB595B">
      <w:pPr>
        <w:spacing w:line="480" w:lineRule="auto"/>
        <w:ind w:firstLine="720"/>
      </w:pPr>
      <w:r>
        <w:br w:type="page"/>
      </w:r>
      <w:r w:rsidRPr="00A7460E">
        <w:lastRenderedPageBreak/>
        <w:t>Table 1. Arbitrage opportunity across industries, 1999-2003</w:t>
      </w:r>
    </w:p>
    <w:tbl>
      <w:tblPr>
        <w:tblW w:w="13263" w:type="dxa"/>
        <w:tblInd w:w="93" w:type="dxa"/>
        <w:tblLayout w:type="fixed"/>
        <w:tblLook w:val="0000" w:firstRow="0" w:lastRow="0" w:firstColumn="0" w:lastColumn="0" w:noHBand="0" w:noVBand="0"/>
      </w:tblPr>
      <w:tblGrid>
        <w:gridCol w:w="4425"/>
        <w:gridCol w:w="822"/>
        <w:gridCol w:w="822"/>
        <w:gridCol w:w="822"/>
        <w:gridCol w:w="822"/>
        <w:gridCol w:w="822"/>
        <w:gridCol w:w="822"/>
        <w:gridCol w:w="822"/>
        <w:gridCol w:w="822"/>
        <w:gridCol w:w="822"/>
        <w:gridCol w:w="1440"/>
      </w:tblGrid>
      <w:tr w:rsidR="00BB595B" w:rsidRPr="000B61B3">
        <w:trPr>
          <w:trHeight w:val="240"/>
        </w:trPr>
        <w:tc>
          <w:tcPr>
            <w:tcW w:w="4425" w:type="dxa"/>
            <w:tcBorders>
              <w:left w:val="nil"/>
              <w:right w:val="single" w:sz="4" w:space="0" w:color="auto"/>
            </w:tcBorders>
            <w:shd w:val="clear" w:color="auto" w:fill="auto"/>
            <w:noWrap/>
            <w:vAlign w:val="bottom"/>
          </w:tcPr>
          <w:p w:rsidR="00BB595B" w:rsidRPr="000B61B3" w:rsidRDefault="00BB595B" w:rsidP="00AB75AA">
            <w:pPr>
              <w:rPr>
                <w:sz w:val="20"/>
                <w:szCs w:val="20"/>
              </w:rPr>
            </w:pPr>
          </w:p>
        </w:tc>
        <w:tc>
          <w:tcPr>
            <w:tcW w:w="3288" w:type="dxa"/>
            <w:gridSpan w:val="4"/>
            <w:tcBorders>
              <w:left w:val="single" w:sz="4" w:space="0" w:color="auto"/>
              <w:bottom w:val="single" w:sz="4" w:space="0" w:color="auto"/>
              <w:right w:val="single" w:sz="4" w:space="0" w:color="auto"/>
            </w:tcBorders>
            <w:vAlign w:val="bottom"/>
          </w:tcPr>
          <w:p w:rsidR="00BB595B" w:rsidRPr="000B61B3" w:rsidRDefault="00BB595B" w:rsidP="00AB75AA">
            <w:pPr>
              <w:jc w:val="center"/>
              <w:rPr>
                <w:sz w:val="20"/>
                <w:szCs w:val="20"/>
              </w:rPr>
            </w:pPr>
            <w:r w:rsidRPr="000B61B3">
              <w:rPr>
                <w:sz w:val="20"/>
                <w:szCs w:val="20"/>
              </w:rPr>
              <w:t>Five-year averages*</w:t>
            </w:r>
          </w:p>
        </w:tc>
        <w:tc>
          <w:tcPr>
            <w:tcW w:w="4110" w:type="dxa"/>
            <w:gridSpan w:val="5"/>
            <w:tcBorders>
              <w:left w:val="single" w:sz="4" w:space="0" w:color="auto"/>
              <w:bottom w:val="single" w:sz="4" w:space="0" w:color="auto"/>
            </w:tcBorders>
            <w:vAlign w:val="bottom"/>
          </w:tcPr>
          <w:p w:rsidR="00BB595B" w:rsidRPr="000B61B3" w:rsidRDefault="00BB595B" w:rsidP="00AB75AA">
            <w:pPr>
              <w:jc w:val="center"/>
              <w:rPr>
                <w:sz w:val="20"/>
                <w:szCs w:val="20"/>
              </w:rPr>
            </w:pPr>
            <w:r w:rsidRPr="000B61B3">
              <w:rPr>
                <w:sz w:val="20"/>
                <w:szCs w:val="20"/>
              </w:rPr>
              <w:t>Annual estimates</w:t>
            </w:r>
          </w:p>
        </w:tc>
        <w:tc>
          <w:tcPr>
            <w:tcW w:w="1440" w:type="dxa"/>
            <w:vMerge w:val="restart"/>
            <w:tcBorders>
              <w:left w:val="single" w:sz="4" w:space="0" w:color="auto"/>
            </w:tcBorders>
            <w:vAlign w:val="bottom"/>
          </w:tcPr>
          <w:p w:rsidR="00BB595B" w:rsidRPr="000B61B3" w:rsidRDefault="00BB595B" w:rsidP="00AB75AA">
            <w:pPr>
              <w:jc w:val="center"/>
              <w:rPr>
                <w:sz w:val="20"/>
                <w:szCs w:val="20"/>
              </w:rPr>
            </w:pPr>
            <w:r>
              <w:rPr>
                <w:sz w:val="20"/>
                <w:szCs w:val="20"/>
              </w:rPr>
              <w:t>Target-mode agreement (</w:t>
            </w:r>
            <w:r>
              <w:rPr>
                <w:sz w:val="20"/>
                <w:szCs w:val="20"/>
              </w:rPr>
              <w:sym w:font="Symbol" w:char="F061"/>
            </w:r>
            <w:r>
              <w:rPr>
                <w:sz w:val="20"/>
                <w:szCs w:val="20"/>
              </w:rPr>
              <w:t>)</w:t>
            </w:r>
            <w:r w:rsidRPr="0090605E">
              <w:rPr>
                <w:sz w:val="20"/>
                <w:szCs w:val="20"/>
                <w:vertAlign w:val="superscript"/>
              </w:rPr>
              <w:t>†</w:t>
            </w:r>
          </w:p>
        </w:tc>
      </w:tr>
      <w:tr w:rsidR="00BB595B" w:rsidRPr="000B61B3">
        <w:trPr>
          <w:trHeight w:val="240"/>
        </w:trPr>
        <w:tc>
          <w:tcPr>
            <w:tcW w:w="4425" w:type="dxa"/>
            <w:tcBorders>
              <w:left w:val="nil"/>
              <w:bottom w:val="single" w:sz="4" w:space="0" w:color="auto"/>
              <w:right w:val="single" w:sz="4" w:space="0" w:color="auto"/>
            </w:tcBorders>
            <w:shd w:val="clear" w:color="auto" w:fill="auto"/>
            <w:noWrap/>
            <w:vAlign w:val="bottom"/>
          </w:tcPr>
          <w:p w:rsidR="00BB595B" w:rsidRPr="000B61B3" w:rsidRDefault="00BB595B" w:rsidP="00AB75AA">
            <w:pPr>
              <w:rPr>
                <w:sz w:val="20"/>
                <w:szCs w:val="20"/>
              </w:rPr>
            </w:pPr>
          </w:p>
        </w:tc>
        <w:tc>
          <w:tcPr>
            <w:tcW w:w="822" w:type="dxa"/>
            <w:tcBorders>
              <w:top w:val="single" w:sz="4" w:space="0" w:color="auto"/>
              <w:left w:val="single" w:sz="4" w:space="0" w:color="auto"/>
              <w:bottom w:val="single" w:sz="4" w:space="0" w:color="auto"/>
            </w:tcBorders>
            <w:vAlign w:val="bottom"/>
          </w:tcPr>
          <w:p w:rsidR="00BB595B" w:rsidRPr="000B61B3" w:rsidRDefault="00BB595B" w:rsidP="00AB75AA">
            <w:pPr>
              <w:jc w:val="right"/>
              <w:rPr>
                <w:sz w:val="20"/>
                <w:szCs w:val="20"/>
              </w:rPr>
            </w:pPr>
            <w:r w:rsidRPr="000B61B3">
              <w:rPr>
                <w:sz w:val="20"/>
                <w:szCs w:val="20"/>
              </w:rPr>
              <w:t>(1)</w:t>
            </w:r>
          </w:p>
        </w:tc>
        <w:tc>
          <w:tcPr>
            <w:tcW w:w="822" w:type="dxa"/>
            <w:tcBorders>
              <w:top w:val="single" w:sz="4" w:space="0" w:color="auto"/>
              <w:bottom w:val="single" w:sz="4" w:space="0" w:color="auto"/>
            </w:tcBorders>
            <w:shd w:val="clear" w:color="auto" w:fill="auto"/>
            <w:noWrap/>
            <w:vAlign w:val="bottom"/>
          </w:tcPr>
          <w:p w:rsidR="00BB595B" w:rsidRPr="000B61B3" w:rsidRDefault="00BB595B" w:rsidP="00AB75AA">
            <w:pPr>
              <w:jc w:val="right"/>
              <w:rPr>
                <w:sz w:val="20"/>
                <w:szCs w:val="20"/>
              </w:rPr>
            </w:pPr>
            <w:r w:rsidRPr="000B61B3">
              <w:rPr>
                <w:sz w:val="20"/>
                <w:szCs w:val="20"/>
              </w:rPr>
              <w:t>(2)</w:t>
            </w:r>
          </w:p>
        </w:tc>
        <w:tc>
          <w:tcPr>
            <w:tcW w:w="822" w:type="dxa"/>
            <w:tcBorders>
              <w:top w:val="single" w:sz="4" w:space="0" w:color="auto"/>
              <w:bottom w:val="single" w:sz="4" w:space="0" w:color="auto"/>
            </w:tcBorders>
            <w:shd w:val="clear" w:color="auto" w:fill="auto"/>
            <w:noWrap/>
            <w:vAlign w:val="bottom"/>
          </w:tcPr>
          <w:p w:rsidR="00BB595B" w:rsidRPr="000B61B3" w:rsidRDefault="00BB595B" w:rsidP="00AB75AA">
            <w:pPr>
              <w:jc w:val="right"/>
              <w:rPr>
                <w:sz w:val="20"/>
                <w:szCs w:val="20"/>
              </w:rPr>
            </w:pPr>
            <w:r w:rsidRPr="000B61B3">
              <w:rPr>
                <w:sz w:val="20"/>
                <w:szCs w:val="20"/>
              </w:rPr>
              <w:t>(3)</w:t>
            </w:r>
          </w:p>
        </w:tc>
        <w:tc>
          <w:tcPr>
            <w:tcW w:w="822" w:type="dxa"/>
            <w:tcBorders>
              <w:top w:val="single" w:sz="4" w:space="0" w:color="auto"/>
              <w:bottom w:val="single" w:sz="4" w:space="0" w:color="auto"/>
              <w:right w:val="single" w:sz="4" w:space="0" w:color="auto"/>
            </w:tcBorders>
            <w:shd w:val="clear" w:color="auto" w:fill="auto"/>
            <w:noWrap/>
            <w:vAlign w:val="bottom"/>
          </w:tcPr>
          <w:p w:rsidR="00BB595B" w:rsidRPr="000B61B3" w:rsidRDefault="00BB595B" w:rsidP="00AB75AA">
            <w:pPr>
              <w:jc w:val="right"/>
              <w:rPr>
                <w:sz w:val="20"/>
                <w:szCs w:val="20"/>
              </w:rPr>
            </w:pPr>
            <w:r w:rsidRPr="000B61B3">
              <w:rPr>
                <w:sz w:val="20"/>
                <w:szCs w:val="20"/>
              </w:rPr>
              <w:t>(4)</w:t>
            </w:r>
          </w:p>
        </w:tc>
        <w:tc>
          <w:tcPr>
            <w:tcW w:w="822" w:type="dxa"/>
            <w:tcBorders>
              <w:top w:val="single" w:sz="4" w:space="0" w:color="auto"/>
              <w:left w:val="single" w:sz="4" w:space="0" w:color="auto"/>
              <w:bottom w:val="single" w:sz="4" w:space="0" w:color="auto"/>
            </w:tcBorders>
            <w:vAlign w:val="bottom"/>
          </w:tcPr>
          <w:p w:rsidR="00BB595B" w:rsidRPr="000B61B3" w:rsidRDefault="00BB595B" w:rsidP="00AB75AA">
            <w:pPr>
              <w:jc w:val="right"/>
              <w:rPr>
                <w:sz w:val="20"/>
                <w:szCs w:val="20"/>
              </w:rPr>
            </w:pPr>
            <w:r w:rsidRPr="000B61B3">
              <w:rPr>
                <w:sz w:val="20"/>
                <w:szCs w:val="20"/>
              </w:rPr>
              <w:t>1999</w:t>
            </w:r>
          </w:p>
        </w:tc>
        <w:tc>
          <w:tcPr>
            <w:tcW w:w="822" w:type="dxa"/>
            <w:tcBorders>
              <w:top w:val="single" w:sz="4" w:space="0" w:color="auto"/>
              <w:bottom w:val="single" w:sz="4" w:space="0" w:color="auto"/>
            </w:tcBorders>
            <w:vAlign w:val="bottom"/>
          </w:tcPr>
          <w:p w:rsidR="00BB595B" w:rsidRPr="000B61B3" w:rsidRDefault="00BB595B" w:rsidP="00AB75AA">
            <w:pPr>
              <w:jc w:val="right"/>
              <w:rPr>
                <w:sz w:val="20"/>
                <w:szCs w:val="20"/>
              </w:rPr>
            </w:pPr>
            <w:r w:rsidRPr="000B61B3">
              <w:rPr>
                <w:sz w:val="20"/>
                <w:szCs w:val="20"/>
              </w:rPr>
              <w:t>2000</w:t>
            </w:r>
          </w:p>
        </w:tc>
        <w:tc>
          <w:tcPr>
            <w:tcW w:w="822" w:type="dxa"/>
            <w:tcBorders>
              <w:top w:val="single" w:sz="4" w:space="0" w:color="auto"/>
              <w:bottom w:val="single" w:sz="4" w:space="0" w:color="auto"/>
            </w:tcBorders>
            <w:vAlign w:val="bottom"/>
          </w:tcPr>
          <w:p w:rsidR="00BB595B" w:rsidRPr="000B61B3" w:rsidRDefault="00BB595B" w:rsidP="00AB75AA">
            <w:pPr>
              <w:jc w:val="right"/>
              <w:rPr>
                <w:sz w:val="20"/>
                <w:szCs w:val="20"/>
              </w:rPr>
            </w:pPr>
            <w:r w:rsidRPr="000B61B3">
              <w:rPr>
                <w:sz w:val="20"/>
                <w:szCs w:val="20"/>
              </w:rPr>
              <w:t>2001</w:t>
            </w:r>
          </w:p>
        </w:tc>
        <w:tc>
          <w:tcPr>
            <w:tcW w:w="822" w:type="dxa"/>
            <w:tcBorders>
              <w:top w:val="single" w:sz="4" w:space="0" w:color="auto"/>
              <w:bottom w:val="single" w:sz="4" w:space="0" w:color="auto"/>
            </w:tcBorders>
            <w:vAlign w:val="bottom"/>
          </w:tcPr>
          <w:p w:rsidR="00BB595B" w:rsidRPr="000B61B3" w:rsidRDefault="00BB595B" w:rsidP="00AB75AA">
            <w:pPr>
              <w:jc w:val="right"/>
              <w:rPr>
                <w:sz w:val="20"/>
                <w:szCs w:val="20"/>
              </w:rPr>
            </w:pPr>
            <w:r w:rsidRPr="000B61B3">
              <w:rPr>
                <w:sz w:val="20"/>
                <w:szCs w:val="20"/>
              </w:rPr>
              <w:t>2002</w:t>
            </w:r>
          </w:p>
        </w:tc>
        <w:tc>
          <w:tcPr>
            <w:tcW w:w="822" w:type="dxa"/>
            <w:tcBorders>
              <w:top w:val="single" w:sz="4" w:space="0" w:color="auto"/>
              <w:bottom w:val="single" w:sz="4" w:space="0" w:color="auto"/>
              <w:right w:val="single" w:sz="4" w:space="0" w:color="auto"/>
            </w:tcBorders>
            <w:vAlign w:val="bottom"/>
          </w:tcPr>
          <w:p w:rsidR="00BB595B" w:rsidRPr="000B61B3" w:rsidRDefault="00BB595B" w:rsidP="00AB75AA">
            <w:pPr>
              <w:jc w:val="right"/>
              <w:rPr>
                <w:sz w:val="20"/>
                <w:szCs w:val="20"/>
              </w:rPr>
            </w:pPr>
            <w:r w:rsidRPr="000B61B3">
              <w:rPr>
                <w:sz w:val="20"/>
                <w:szCs w:val="20"/>
              </w:rPr>
              <w:t>2003</w:t>
            </w:r>
          </w:p>
        </w:tc>
        <w:tc>
          <w:tcPr>
            <w:tcW w:w="1440" w:type="dxa"/>
            <w:vMerge/>
            <w:tcBorders>
              <w:left w:val="single" w:sz="4" w:space="0" w:color="auto"/>
              <w:bottom w:val="single" w:sz="4" w:space="0" w:color="auto"/>
            </w:tcBorders>
            <w:vAlign w:val="bottom"/>
          </w:tcPr>
          <w:p w:rsidR="00BB595B" w:rsidRPr="000B61B3" w:rsidRDefault="00BB595B" w:rsidP="00AB75AA">
            <w:pPr>
              <w:jc w:val="right"/>
              <w:rPr>
                <w:sz w:val="20"/>
                <w:szCs w:val="20"/>
              </w:rPr>
            </w:pP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Pharmaceutical industry</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28.38</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19.24</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17.49</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14.85</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41.59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25.28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19.86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24.66</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30.50</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0.259</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Information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27.79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21.66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20.33</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17.97</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67.23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26.73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19.86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14.17</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10.98</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0.159</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Software publishers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15.65</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11.12</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10.65</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9.43</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15.91</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11.52</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16.60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14.23</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19.97</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0.485</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Computer related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12.10</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10.33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9.99</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8.60</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14.83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12.96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10.60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10.75</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11.36</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0.209</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Consulting, advertising and related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12.01</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9.68</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9.68</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9.36</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10.04</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9.32</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9.38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10.48</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20.83</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0.145</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Semiconductor and electronic device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11.92</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6.91</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6.91</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6.32</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10.46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15.48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14.45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8.10</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11.10</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0.330</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Pr>
                <w:sz w:val="20"/>
                <w:szCs w:val="20"/>
              </w:rPr>
              <w:t>Computer and peripheral</w:t>
            </w:r>
            <w:r w:rsidRPr="000B61B3">
              <w:rPr>
                <w:sz w:val="20"/>
                <w:szCs w:val="20"/>
              </w:rPr>
              <w:t xml:space="preserve"> device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10.80</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4.49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3.86</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3.51</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12.38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9.06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10.55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5.47</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16.52</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0.224</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Pr>
                <w:sz w:val="20"/>
                <w:szCs w:val="20"/>
              </w:rPr>
              <w:t>Pulp, paper and paperboard</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9.85</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7.63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7.00</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6.68</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11.83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6.66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9.30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9.94</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11.51</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0.146</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Audio- and video communication equipment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7.19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6.09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5.82</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5.50</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7.12</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6.69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5.99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6.40</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9.75</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0.226</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Telecommunications carriers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6.68</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6.20</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5.88</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5.57</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7.02</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7.09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6.56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6.90</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5.83</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0.178</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Chemical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6.26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4.61</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4.53</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4.38</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7.41</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8.20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5.69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5.35</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4.68</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0.233</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 xml:space="preserve">Utilities </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6.06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5.79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5.72</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5.40</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5.99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5.07</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5.53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6.72</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6.96</w:t>
            </w:r>
          </w:p>
        </w:tc>
        <w:tc>
          <w:tcPr>
            <w:tcW w:w="1440" w:type="dxa"/>
            <w:tcBorders>
              <w:top w:val="nil"/>
              <w:left w:val="single" w:sz="4" w:space="0" w:color="auto"/>
              <w:bottom w:val="nil"/>
              <w:right w:val="nil"/>
            </w:tcBorders>
          </w:tcPr>
          <w:p w:rsidR="00BB595B" w:rsidRPr="006355C4" w:rsidRDefault="00BB595B" w:rsidP="00AB75AA">
            <w:pPr>
              <w:jc w:val="center"/>
              <w:rPr>
                <w:sz w:val="20"/>
                <w:szCs w:val="20"/>
              </w:rPr>
            </w:pPr>
            <w:r w:rsidRPr="006355C4">
              <w:rPr>
                <w:sz w:val="20"/>
                <w:szCs w:val="20"/>
              </w:rPr>
              <w:t>0.646</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Special equipment and instruments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5.66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3.89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3.72</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3.59</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4.96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5.38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6.68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4.54</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6.76</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0.309</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Electromedical and navigational equipment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5.49</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4.60</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4.53</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4.32</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5.20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4.83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3.90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6.34</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7.17</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0.337</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HR and staffing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4.52</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3.96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3.91</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3.45</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4.14</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3.94</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4.26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4.68</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5.57</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0.120</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Retail trade</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4.43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3.96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3.73</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3.73</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6.95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4.25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3.79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3.51</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3.63</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0.115</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Industrial machinery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4.13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2.97</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2.97</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2.80</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3.01</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4.75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4.46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4.76</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3.68</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0.192</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TV, radio, cable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3.33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3.05</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2.97</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2.79</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3.03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3.09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3.25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3.79</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3.52</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0.113</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Accommodation and food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3.11</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2.65</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2.53</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2.37</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3.58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3.08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3.13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2.94</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2.82</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0.178</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Food and drinks manufacturing</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3.06</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3.01</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2.80</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2.61</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3.03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3.08</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2.96</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3.18</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3.07</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0.114</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 xml:space="preserve">Hospitals and healthcare services </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2.90</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2.90</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2.85</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2.73</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2.85</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2.93</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2.84</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2.95</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2.94</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0.135</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Courier services</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2.77</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2.77</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2.73</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2.38</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2.64</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2.90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2.82</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2.90</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2.58</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0.118</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Wholesale trade</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2.73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2.73</w:t>
            </w:r>
          </w:p>
        </w:tc>
        <w:tc>
          <w:tcPr>
            <w:tcW w:w="822" w:type="dxa"/>
            <w:tcBorders>
              <w:top w:val="nil"/>
              <w:left w:val="nil"/>
              <w:bottom w:val="nil"/>
              <w:right w:val="nil"/>
            </w:tcBorders>
            <w:shd w:val="clear" w:color="auto" w:fill="auto"/>
            <w:noWrap/>
          </w:tcPr>
          <w:p w:rsidR="00BB595B" w:rsidRPr="000B61B3" w:rsidRDefault="00BB595B" w:rsidP="00AB75AA">
            <w:pPr>
              <w:jc w:val="right"/>
              <w:rPr>
                <w:sz w:val="20"/>
                <w:szCs w:val="20"/>
              </w:rPr>
            </w:pPr>
            <w:r w:rsidRPr="000B61B3">
              <w:rPr>
                <w:sz w:val="20"/>
                <w:szCs w:val="20"/>
              </w:rPr>
              <w:t>2.59</w:t>
            </w:r>
          </w:p>
        </w:tc>
        <w:tc>
          <w:tcPr>
            <w:tcW w:w="822" w:type="dxa"/>
            <w:tcBorders>
              <w:top w:val="nil"/>
              <w:left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2.18</w:t>
            </w:r>
          </w:p>
        </w:tc>
        <w:tc>
          <w:tcPr>
            <w:tcW w:w="822" w:type="dxa"/>
            <w:tcBorders>
              <w:top w:val="nil"/>
              <w:left w:val="single" w:sz="4" w:space="0" w:color="auto"/>
              <w:bottom w:val="nil"/>
              <w:right w:val="nil"/>
            </w:tcBorders>
          </w:tcPr>
          <w:p w:rsidR="00BB595B" w:rsidRPr="000B61B3" w:rsidRDefault="00BB595B" w:rsidP="00AB75AA">
            <w:pPr>
              <w:jc w:val="right"/>
              <w:rPr>
                <w:sz w:val="20"/>
                <w:szCs w:val="20"/>
              </w:rPr>
            </w:pPr>
            <w:r w:rsidRPr="000B61B3">
              <w:rPr>
                <w:sz w:val="20"/>
                <w:szCs w:val="20"/>
              </w:rPr>
              <w:t>2.79</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2.72</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2.80</w:t>
            </w:r>
          </w:p>
        </w:tc>
        <w:tc>
          <w:tcPr>
            <w:tcW w:w="822" w:type="dxa"/>
            <w:tcBorders>
              <w:top w:val="nil"/>
              <w:left w:val="nil"/>
              <w:bottom w:val="nil"/>
              <w:right w:val="nil"/>
            </w:tcBorders>
          </w:tcPr>
          <w:p w:rsidR="00BB595B" w:rsidRPr="000B61B3" w:rsidRDefault="00BB595B" w:rsidP="00AB75AA">
            <w:pPr>
              <w:jc w:val="right"/>
              <w:rPr>
                <w:sz w:val="20"/>
                <w:szCs w:val="20"/>
              </w:rPr>
            </w:pPr>
            <w:r w:rsidRPr="000B61B3">
              <w:rPr>
                <w:sz w:val="20"/>
                <w:szCs w:val="20"/>
              </w:rPr>
              <w:t>2.61</w:t>
            </w:r>
          </w:p>
        </w:tc>
        <w:tc>
          <w:tcPr>
            <w:tcW w:w="822" w:type="dxa"/>
            <w:tcBorders>
              <w:top w:val="nil"/>
              <w:left w:val="nil"/>
              <w:bottom w:val="nil"/>
              <w:right w:val="single" w:sz="4" w:space="0" w:color="auto"/>
            </w:tcBorders>
          </w:tcPr>
          <w:p w:rsidR="00BB595B" w:rsidRPr="000B61B3" w:rsidRDefault="00BB595B" w:rsidP="00AB75AA">
            <w:pPr>
              <w:jc w:val="right"/>
              <w:rPr>
                <w:sz w:val="20"/>
                <w:szCs w:val="20"/>
              </w:rPr>
            </w:pPr>
            <w:r w:rsidRPr="000B61B3">
              <w:rPr>
                <w:sz w:val="20"/>
                <w:szCs w:val="20"/>
              </w:rPr>
              <w:t>2.74</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0.115</w:t>
            </w:r>
          </w:p>
        </w:tc>
      </w:tr>
      <w:tr w:rsidR="00BB595B" w:rsidRPr="000B61B3">
        <w:trPr>
          <w:trHeight w:val="255"/>
        </w:trPr>
        <w:tc>
          <w:tcPr>
            <w:tcW w:w="4425" w:type="dxa"/>
            <w:tcBorders>
              <w:top w:val="nil"/>
              <w:left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Publishing industry</w:t>
            </w:r>
          </w:p>
        </w:tc>
        <w:tc>
          <w:tcPr>
            <w:tcW w:w="822" w:type="dxa"/>
            <w:tcBorders>
              <w:top w:val="nil"/>
              <w:left w:val="single" w:sz="4" w:space="0" w:color="auto"/>
            </w:tcBorders>
          </w:tcPr>
          <w:p w:rsidR="00BB595B" w:rsidRPr="000B61B3" w:rsidRDefault="00BB595B" w:rsidP="00AB75AA">
            <w:pPr>
              <w:jc w:val="right"/>
              <w:rPr>
                <w:sz w:val="20"/>
                <w:szCs w:val="20"/>
              </w:rPr>
            </w:pPr>
            <w:r w:rsidRPr="000B61B3">
              <w:rPr>
                <w:sz w:val="20"/>
                <w:szCs w:val="20"/>
              </w:rPr>
              <w:t>2.69</w:t>
            </w:r>
          </w:p>
        </w:tc>
        <w:tc>
          <w:tcPr>
            <w:tcW w:w="822" w:type="dxa"/>
            <w:tcBorders>
              <w:top w:val="nil"/>
              <w:left w:val="nil"/>
              <w:right w:val="nil"/>
            </w:tcBorders>
            <w:shd w:val="clear" w:color="auto" w:fill="auto"/>
            <w:noWrap/>
          </w:tcPr>
          <w:p w:rsidR="00BB595B" w:rsidRPr="000B61B3" w:rsidRDefault="00BB595B" w:rsidP="00AB75AA">
            <w:pPr>
              <w:jc w:val="right"/>
              <w:rPr>
                <w:sz w:val="20"/>
                <w:szCs w:val="20"/>
              </w:rPr>
            </w:pPr>
            <w:r w:rsidRPr="000B61B3">
              <w:rPr>
                <w:sz w:val="20"/>
                <w:szCs w:val="20"/>
              </w:rPr>
              <w:t>2.58</w:t>
            </w:r>
          </w:p>
        </w:tc>
        <w:tc>
          <w:tcPr>
            <w:tcW w:w="822" w:type="dxa"/>
            <w:tcBorders>
              <w:top w:val="nil"/>
              <w:left w:val="nil"/>
              <w:right w:val="nil"/>
            </w:tcBorders>
            <w:shd w:val="clear" w:color="auto" w:fill="auto"/>
            <w:noWrap/>
          </w:tcPr>
          <w:p w:rsidR="00BB595B" w:rsidRPr="000B61B3" w:rsidRDefault="00BB595B" w:rsidP="00AB75AA">
            <w:pPr>
              <w:jc w:val="right"/>
              <w:rPr>
                <w:sz w:val="20"/>
                <w:szCs w:val="20"/>
              </w:rPr>
            </w:pPr>
            <w:r w:rsidRPr="000B61B3">
              <w:rPr>
                <w:sz w:val="20"/>
                <w:szCs w:val="20"/>
              </w:rPr>
              <w:t>2.58</w:t>
            </w:r>
          </w:p>
        </w:tc>
        <w:tc>
          <w:tcPr>
            <w:tcW w:w="822" w:type="dxa"/>
            <w:tcBorders>
              <w:top w:val="nil"/>
              <w:left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2.38</w:t>
            </w:r>
          </w:p>
        </w:tc>
        <w:tc>
          <w:tcPr>
            <w:tcW w:w="822" w:type="dxa"/>
            <w:tcBorders>
              <w:top w:val="nil"/>
              <w:left w:val="single" w:sz="4" w:space="0" w:color="auto"/>
              <w:right w:val="nil"/>
            </w:tcBorders>
          </w:tcPr>
          <w:p w:rsidR="00BB595B" w:rsidRPr="000B61B3" w:rsidRDefault="00BB595B" w:rsidP="00AB75AA">
            <w:pPr>
              <w:jc w:val="right"/>
              <w:rPr>
                <w:sz w:val="20"/>
                <w:szCs w:val="20"/>
              </w:rPr>
            </w:pPr>
            <w:r w:rsidRPr="000B61B3">
              <w:rPr>
                <w:sz w:val="20"/>
                <w:szCs w:val="20"/>
              </w:rPr>
              <w:t>2.57</w:t>
            </w:r>
          </w:p>
        </w:tc>
        <w:tc>
          <w:tcPr>
            <w:tcW w:w="822" w:type="dxa"/>
            <w:tcBorders>
              <w:top w:val="nil"/>
              <w:left w:val="nil"/>
              <w:right w:val="nil"/>
            </w:tcBorders>
          </w:tcPr>
          <w:p w:rsidR="00BB595B" w:rsidRPr="000B61B3" w:rsidRDefault="00BB595B" w:rsidP="00AB75AA">
            <w:pPr>
              <w:jc w:val="right"/>
              <w:rPr>
                <w:sz w:val="20"/>
                <w:szCs w:val="20"/>
              </w:rPr>
            </w:pPr>
            <w:r w:rsidRPr="000B61B3">
              <w:rPr>
                <w:sz w:val="20"/>
                <w:szCs w:val="20"/>
              </w:rPr>
              <w:t>2.96</w:t>
            </w:r>
          </w:p>
        </w:tc>
        <w:tc>
          <w:tcPr>
            <w:tcW w:w="822" w:type="dxa"/>
            <w:tcBorders>
              <w:top w:val="nil"/>
              <w:left w:val="nil"/>
              <w:right w:val="nil"/>
            </w:tcBorders>
          </w:tcPr>
          <w:p w:rsidR="00BB595B" w:rsidRPr="000B61B3" w:rsidRDefault="00BB595B" w:rsidP="00AB75AA">
            <w:pPr>
              <w:jc w:val="right"/>
              <w:rPr>
                <w:sz w:val="20"/>
                <w:szCs w:val="20"/>
              </w:rPr>
            </w:pPr>
            <w:r w:rsidRPr="000B61B3">
              <w:rPr>
                <w:sz w:val="20"/>
                <w:szCs w:val="20"/>
              </w:rPr>
              <w:t>2.80</w:t>
            </w:r>
          </w:p>
        </w:tc>
        <w:tc>
          <w:tcPr>
            <w:tcW w:w="822" w:type="dxa"/>
            <w:tcBorders>
              <w:top w:val="nil"/>
              <w:left w:val="nil"/>
              <w:right w:val="nil"/>
            </w:tcBorders>
          </w:tcPr>
          <w:p w:rsidR="00BB595B" w:rsidRPr="000B61B3" w:rsidRDefault="00BB595B" w:rsidP="00AB75AA">
            <w:pPr>
              <w:jc w:val="right"/>
              <w:rPr>
                <w:sz w:val="20"/>
                <w:szCs w:val="20"/>
              </w:rPr>
            </w:pPr>
            <w:r w:rsidRPr="000B61B3">
              <w:rPr>
                <w:sz w:val="20"/>
                <w:szCs w:val="20"/>
              </w:rPr>
              <w:t>2.59</w:t>
            </w:r>
          </w:p>
        </w:tc>
        <w:tc>
          <w:tcPr>
            <w:tcW w:w="822" w:type="dxa"/>
            <w:tcBorders>
              <w:top w:val="nil"/>
              <w:left w:val="nil"/>
              <w:right w:val="single" w:sz="4" w:space="0" w:color="auto"/>
            </w:tcBorders>
          </w:tcPr>
          <w:p w:rsidR="00BB595B" w:rsidRPr="000B61B3" w:rsidRDefault="00BB595B" w:rsidP="00AB75AA">
            <w:pPr>
              <w:jc w:val="right"/>
              <w:rPr>
                <w:sz w:val="20"/>
                <w:szCs w:val="20"/>
              </w:rPr>
            </w:pPr>
            <w:r w:rsidRPr="000B61B3">
              <w:rPr>
                <w:sz w:val="20"/>
                <w:szCs w:val="20"/>
              </w:rPr>
              <w:t>2.53</w:t>
            </w:r>
          </w:p>
        </w:tc>
        <w:tc>
          <w:tcPr>
            <w:tcW w:w="1440" w:type="dxa"/>
            <w:tcBorders>
              <w:top w:val="nil"/>
              <w:left w:val="single" w:sz="4" w:space="0" w:color="auto"/>
              <w:right w:val="nil"/>
            </w:tcBorders>
          </w:tcPr>
          <w:p w:rsidR="00BB595B" w:rsidRPr="000B61B3" w:rsidRDefault="00BB595B" w:rsidP="00AB75AA">
            <w:pPr>
              <w:jc w:val="center"/>
              <w:rPr>
                <w:sz w:val="20"/>
                <w:szCs w:val="20"/>
              </w:rPr>
            </w:pPr>
            <w:r>
              <w:rPr>
                <w:sz w:val="20"/>
                <w:szCs w:val="20"/>
              </w:rPr>
              <w:t>0.128</w:t>
            </w:r>
          </w:p>
        </w:tc>
      </w:tr>
      <w:tr w:rsidR="00BB595B" w:rsidRPr="000B61B3">
        <w:trPr>
          <w:trHeight w:val="255"/>
        </w:trPr>
        <w:tc>
          <w:tcPr>
            <w:tcW w:w="4425" w:type="dxa"/>
            <w:tcBorders>
              <w:top w:val="nil"/>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Air transportation</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2.06</w:t>
            </w:r>
          </w:p>
        </w:tc>
        <w:tc>
          <w:tcPr>
            <w:tcW w:w="822" w:type="dxa"/>
            <w:tcBorders>
              <w:top w:val="nil"/>
              <w:bottom w:val="nil"/>
            </w:tcBorders>
            <w:shd w:val="clear" w:color="auto" w:fill="auto"/>
            <w:noWrap/>
          </w:tcPr>
          <w:p w:rsidR="00BB595B" w:rsidRPr="000B61B3" w:rsidRDefault="00BB595B" w:rsidP="00AB75AA">
            <w:pPr>
              <w:jc w:val="right"/>
              <w:rPr>
                <w:sz w:val="20"/>
                <w:szCs w:val="20"/>
              </w:rPr>
            </w:pPr>
            <w:r w:rsidRPr="000B61B3">
              <w:rPr>
                <w:sz w:val="20"/>
                <w:szCs w:val="20"/>
              </w:rPr>
              <w:t>2.03</w:t>
            </w:r>
          </w:p>
        </w:tc>
        <w:tc>
          <w:tcPr>
            <w:tcW w:w="822" w:type="dxa"/>
            <w:tcBorders>
              <w:top w:val="nil"/>
              <w:bottom w:val="nil"/>
            </w:tcBorders>
            <w:shd w:val="clear" w:color="auto" w:fill="auto"/>
            <w:noWrap/>
          </w:tcPr>
          <w:p w:rsidR="00BB595B" w:rsidRPr="000B61B3" w:rsidRDefault="00BB595B" w:rsidP="00AB75AA">
            <w:pPr>
              <w:jc w:val="right"/>
              <w:rPr>
                <w:sz w:val="20"/>
                <w:szCs w:val="20"/>
              </w:rPr>
            </w:pPr>
            <w:r w:rsidRPr="000B61B3">
              <w:rPr>
                <w:sz w:val="20"/>
                <w:szCs w:val="20"/>
              </w:rPr>
              <w:t>1.97</w:t>
            </w:r>
          </w:p>
        </w:tc>
        <w:tc>
          <w:tcPr>
            <w:tcW w:w="822" w:type="dxa"/>
            <w:tcBorders>
              <w:top w:val="nil"/>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1.89</w:t>
            </w:r>
          </w:p>
        </w:tc>
        <w:tc>
          <w:tcPr>
            <w:tcW w:w="822" w:type="dxa"/>
            <w:tcBorders>
              <w:top w:val="nil"/>
              <w:left w:val="single" w:sz="4" w:space="0" w:color="auto"/>
              <w:bottom w:val="nil"/>
            </w:tcBorders>
          </w:tcPr>
          <w:p w:rsidR="00BB595B" w:rsidRPr="000B61B3" w:rsidRDefault="00BB595B" w:rsidP="00AB75AA">
            <w:pPr>
              <w:jc w:val="right"/>
              <w:rPr>
                <w:sz w:val="20"/>
                <w:szCs w:val="20"/>
              </w:rPr>
            </w:pPr>
            <w:r w:rsidRPr="000B61B3">
              <w:rPr>
                <w:sz w:val="20"/>
                <w:szCs w:val="20"/>
              </w:rPr>
              <w:t>1.99</w:t>
            </w:r>
          </w:p>
        </w:tc>
        <w:tc>
          <w:tcPr>
            <w:tcW w:w="822" w:type="dxa"/>
            <w:tcBorders>
              <w:top w:val="nil"/>
              <w:bottom w:val="nil"/>
            </w:tcBorders>
          </w:tcPr>
          <w:p w:rsidR="00BB595B" w:rsidRPr="000B61B3" w:rsidRDefault="00BB595B" w:rsidP="00AB75AA">
            <w:pPr>
              <w:jc w:val="right"/>
              <w:rPr>
                <w:sz w:val="20"/>
                <w:szCs w:val="20"/>
              </w:rPr>
            </w:pPr>
            <w:r w:rsidRPr="000B61B3">
              <w:rPr>
                <w:sz w:val="20"/>
                <w:szCs w:val="20"/>
              </w:rPr>
              <w:t>2.01</w:t>
            </w:r>
          </w:p>
        </w:tc>
        <w:tc>
          <w:tcPr>
            <w:tcW w:w="822" w:type="dxa"/>
            <w:tcBorders>
              <w:top w:val="nil"/>
              <w:bottom w:val="nil"/>
            </w:tcBorders>
          </w:tcPr>
          <w:p w:rsidR="00BB595B" w:rsidRPr="000B61B3" w:rsidRDefault="00BB595B" w:rsidP="00AB75AA">
            <w:pPr>
              <w:jc w:val="right"/>
              <w:rPr>
                <w:sz w:val="20"/>
                <w:szCs w:val="20"/>
              </w:rPr>
            </w:pPr>
            <w:r w:rsidRPr="000B61B3">
              <w:rPr>
                <w:sz w:val="20"/>
                <w:szCs w:val="20"/>
              </w:rPr>
              <w:t>2.05</w:t>
            </w:r>
          </w:p>
        </w:tc>
        <w:tc>
          <w:tcPr>
            <w:tcW w:w="822" w:type="dxa"/>
            <w:tcBorders>
              <w:top w:val="nil"/>
              <w:bottom w:val="nil"/>
            </w:tcBorders>
          </w:tcPr>
          <w:p w:rsidR="00BB595B" w:rsidRPr="000B61B3" w:rsidRDefault="00BB595B" w:rsidP="00AB75AA">
            <w:pPr>
              <w:jc w:val="right"/>
              <w:rPr>
                <w:sz w:val="20"/>
                <w:szCs w:val="20"/>
              </w:rPr>
            </w:pPr>
            <w:r w:rsidRPr="000B61B3">
              <w:rPr>
                <w:sz w:val="20"/>
                <w:szCs w:val="20"/>
              </w:rPr>
              <w:t>2.08</w:t>
            </w:r>
          </w:p>
        </w:tc>
        <w:tc>
          <w:tcPr>
            <w:tcW w:w="822" w:type="dxa"/>
            <w:tcBorders>
              <w:top w:val="nil"/>
              <w:bottom w:val="nil"/>
              <w:right w:val="single" w:sz="4" w:space="0" w:color="auto"/>
            </w:tcBorders>
          </w:tcPr>
          <w:p w:rsidR="00BB595B" w:rsidRPr="000B61B3" w:rsidRDefault="00BB595B" w:rsidP="00AB75AA">
            <w:pPr>
              <w:jc w:val="right"/>
              <w:rPr>
                <w:sz w:val="20"/>
                <w:szCs w:val="20"/>
              </w:rPr>
            </w:pPr>
            <w:r w:rsidRPr="000B61B3">
              <w:rPr>
                <w:sz w:val="20"/>
                <w:szCs w:val="20"/>
              </w:rPr>
              <w:t>2.17</w:t>
            </w:r>
          </w:p>
        </w:tc>
        <w:tc>
          <w:tcPr>
            <w:tcW w:w="1440" w:type="dxa"/>
            <w:tcBorders>
              <w:top w:val="nil"/>
              <w:left w:val="single" w:sz="4" w:space="0" w:color="auto"/>
              <w:bottom w:val="nil"/>
              <w:right w:val="nil"/>
            </w:tcBorders>
          </w:tcPr>
          <w:p w:rsidR="00BB595B" w:rsidRPr="000B61B3" w:rsidRDefault="00BB595B" w:rsidP="00AB75AA">
            <w:pPr>
              <w:jc w:val="center"/>
              <w:rPr>
                <w:sz w:val="20"/>
                <w:szCs w:val="20"/>
              </w:rPr>
            </w:pPr>
            <w:r>
              <w:rPr>
                <w:sz w:val="20"/>
                <w:szCs w:val="20"/>
              </w:rPr>
              <w:t>0.154</w:t>
            </w:r>
          </w:p>
        </w:tc>
      </w:tr>
      <w:tr w:rsidR="00BB595B" w:rsidRPr="000B61B3">
        <w:trPr>
          <w:trHeight w:val="255"/>
        </w:trPr>
        <w:tc>
          <w:tcPr>
            <w:tcW w:w="4425" w:type="dxa"/>
            <w:tcBorders>
              <w:left w:val="nil"/>
              <w:bottom w:val="nil"/>
              <w:right w:val="single" w:sz="4" w:space="0" w:color="auto"/>
            </w:tcBorders>
            <w:shd w:val="clear" w:color="auto" w:fill="auto"/>
            <w:noWrap/>
            <w:vAlign w:val="bottom"/>
          </w:tcPr>
          <w:p w:rsidR="00BB595B" w:rsidRPr="000B61B3" w:rsidRDefault="00BB595B" w:rsidP="00AB75AA">
            <w:pPr>
              <w:rPr>
                <w:sz w:val="20"/>
                <w:szCs w:val="20"/>
              </w:rPr>
            </w:pPr>
            <w:r w:rsidRPr="000B61B3">
              <w:rPr>
                <w:sz w:val="20"/>
                <w:szCs w:val="20"/>
              </w:rPr>
              <w:t>Automobile and truck manufacturing</w:t>
            </w:r>
          </w:p>
        </w:tc>
        <w:tc>
          <w:tcPr>
            <w:tcW w:w="822" w:type="dxa"/>
            <w:tcBorders>
              <w:left w:val="single" w:sz="4" w:space="0" w:color="auto"/>
              <w:bottom w:val="nil"/>
            </w:tcBorders>
          </w:tcPr>
          <w:p w:rsidR="00BB595B" w:rsidRPr="000B61B3" w:rsidRDefault="00BB595B" w:rsidP="00AB75AA">
            <w:pPr>
              <w:jc w:val="right"/>
              <w:rPr>
                <w:sz w:val="20"/>
                <w:szCs w:val="20"/>
              </w:rPr>
            </w:pPr>
            <w:r w:rsidRPr="000B61B3">
              <w:rPr>
                <w:sz w:val="20"/>
                <w:szCs w:val="20"/>
              </w:rPr>
              <w:t>1.50</w:t>
            </w:r>
          </w:p>
        </w:tc>
        <w:tc>
          <w:tcPr>
            <w:tcW w:w="822" w:type="dxa"/>
            <w:tcBorders>
              <w:bottom w:val="nil"/>
            </w:tcBorders>
            <w:shd w:val="clear" w:color="auto" w:fill="auto"/>
            <w:noWrap/>
          </w:tcPr>
          <w:p w:rsidR="00BB595B" w:rsidRPr="000B61B3" w:rsidRDefault="00BB595B" w:rsidP="00AB75AA">
            <w:pPr>
              <w:jc w:val="right"/>
              <w:rPr>
                <w:sz w:val="20"/>
                <w:szCs w:val="20"/>
              </w:rPr>
            </w:pPr>
            <w:r w:rsidRPr="000B61B3">
              <w:rPr>
                <w:sz w:val="20"/>
                <w:szCs w:val="20"/>
              </w:rPr>
              <w:t>1.50</w:t>
            </w:r>
          </w:p>
        </w:tc>
        <w:tc>
          <w:tcPr>
            <w:tcW w:w="822" w:type="dxa"/>
            <w:tcBorders>
              <w:bottom w:val="nil"/>
            </w:tcBorders>
            <w:shd w:val="clear" w:color="auto" w:fill="auto"/>
            <w:noWrap/>
          </w:tcPr>
          <w:p w:rsidR="00BB595B" w:rsidRPr="000B61B3" w:rsidRDefault="00BB595B" w:rsidP="00AB75AA">
            <w:pPr>
              <w:jc w:val="right"/>
              <w:rPr>
                <w:sz w:val="20"/>
                <w:szCs w:val="20"/>
              </w:rPr>
            </w:pPr>
            <w:r w:rsidRPr="000B61B3">
              <w:rPr>
                <w:sz w:val="20"/>
                <w:szCs w:val="20"/>
              </w:rPr>
              <w:t>1.45</w:t>
            </w:r>
          </w:p>
        </w:tc>
        <w:tc>
          <w:tcPr>
            <w:tcW w:w="822" w:type="dxa"/>
            <w:tcBorders>
              <w:bottom w:val="nil"/>
              <w:right w:val="single" w:sz="4" w:space="0" w:color="auto"/>
            </w:tcBorders>
            <w:shd w:val="clear" w:color="auto" w:fill="auto"/>
            <w:noWrap/>
          </w:tcPr>
          <w:p w:rsidR="00BB595B" w:rsidRPr="000B61B3" w:rsidRDefault="00BB595B" w:rsidP="00AB75AA">
            <w:pPr>
              <w:jc w:val="right"/>
              <w:rPr>
                <w:sz w:val="20"/>
                <w:szCs w:val="20"/>
              </w:rPr>
            </w:pPr>
            <w:r w:rsidRPr="000B61B3">
              <w:rPr>
                <w:sz w:val="20"/>
                <w:szCs w:val="20"/>
              </w:rPr>
              <w:t>1.37</w:t>
            </w:r>
          </w:p>
        </w:tc>
        <w:tc>
          <w:tcPr>
            <w:tcW w:w="822" w:type="dxa"/>
            <w:tcBorders>
              <w:left w:val="single" w:sz="4" w:space="0" w:color="auto"/>
              <w:bottom w:val="nil"/>
            </w:tcBorders>
          </w:tcPr>
          <w:p w:rsidR="00BB595B" w:rsidRPr="000B61B3" w:rsidRDefault="00BB595B" w:rsidP="00AB75AA">
            <w:pPr>
              <w:jc w:val="right"/>
              <w:rPr>
                <w:sz w:val="20"/>
                <w:szCs w:val="20"/>
              </w:rPr>
            </w:pPr>
            <w:r w:rsidRPr="000B61B3">
              <w:rPr>
                <w:sz w:val="20"/>
                <w:szCs w:val="20"/>
              </w:rPr>
              <w:t>1.46</w:t>
            </w:r>
          </w:p>
        </w:tc>
        <w:tc>
          <w:tcPr>
            <w:tcW w:w="822" w:type="dxa"/>
            <w:tcBorders>
              <w:bottom w:val="nil"/>
            </w:tcBorders>
          </w:tcPr>
          <w:p w:rsidR="00BB595B" w:rsidRPr="000B61B3" w:rsidRDefault="00BB595B" w:rsidP="00AB75AA">
            <w:pPr>
              <w:jc w:val="right"/>
              <w:rPr>
                <w:sz w:val="20"/>
                <w:szCs w:val="20"/>
              </w:rPr>
            </w:pPr>
            <w:r w:rsidRPr="000B61B3">
              <w:rPr>
                <w:sz w:val="20"/>
                <w:szCs w:val="20"/>
              </w:rPr>
              <w:t>1.48</w:t>
            </w:r>
          </w:p>
        </w:tc>
        <w:tc>
          <w:tcPr>
            <w:tcW w:w="822" w:type="dxa"/>
            <w:tcBorders>
              <w:bottom w:val="nil"/>
            </w:tcBorders>
          </w:tcPr>
          <w:p w:rsidR="00BB595B" w:rsidRPr="000B61B3" w:rsidRDefault="00BB595B" w:rsidP="00AB75AA">
            <w:pPr>
              <w:jc w:val="right"/>
              <w:rPr>
                <w:sz w:val="20"/>
                <w:szCs w:val="20"/>
              </w:rPr>
            </w:pPr>
            <w:r w:rsidRPr="000B61B3">
              <w:rPr>
                <w:sz w:val="20"/>
                <w:szCs w:val="20"/>
              </w:rPr>
              <w:t>1.58</w:t>
            </w:r>
          </w:p>
        </w:tc>
        <w:tc>
          <w:tcPr>
            <w:tcW w:w="822" w:type="dxa"/>
            <w:tcBorders>
              <w:bottom w:val="nil"/>
            </w:tcBorders>
          </w:tcPr>
          <w:p w:rsidR="00BB595B" w:rsidRPr="000B61B3" w:rsidRDefault="00BB595B" w:rsidP="00AB75AA">
            <w:pPr>
              <w:jc w:val="right"/>
              <w:rPr>
                <w:sz w:val="20"/>
                <w:szCs w:val="20"/>
              </w:rPr>
            </w:pPr>
            <w:r w:rsidRPr="000B61B3">
              <w:rPr>
                <w:sz w:val="20"/>
                <w:szCs w:val="20"/>
              </w:rPr>
              <w:t>1.51</w:t>
            </w:r>
          </w:p>
        </w:tc>
        <w:tc>
          <w:tcPr>
            <w:tcW w:w="822" w:type="dxa"/>
            <w:tcBorders>
              <w:bottom w:val="nil"/>
              <w:right w:val="single" w:sz="4" w:space="0" w:color="auto"/>
            </w:tcBorders>
          </w:tcPr>
          <w:p w:rsidR="00BB595B" w:rsidRPr="000B61B3" w:rsidRDefault="00BB595B" w:rsidP="00AB75AA">
            <w:pPr>
              <w:jc w:val="right"/>
              <w:rPr>
                <w:sz w:val="20"/>
                <w:szCs w:val="20"/>
              </w:rPr>
            </w:pPr>
            <w:r w:rsidRPr="000B61B3">
              <w:rPr>
                <w:sz w:val="20"/>
                <w:szCs w:val="20"/>
              </w:rPr>
              <w:t>1.45</w:t>
            </w:r>
          </w:p>
        </w:tc>
        <w:tc>
          <w:tcPr>
            <w:tcW w:w="1440" w:type="dxa"/>
            <w:tcBorders>
              <w:left w:val="single" w:sz="4" w:space="0" w:color="auto"/>
              <w:bottom w:val="nil"/>
              <w:right w:val="nil"/>
            </w:tcBorders>
          </w:tcPr>
          <w:p w:rsidR="00BB595B" w:rsidRPr="000B61B3" w:rsidRDefault="00BB595B" w:rsidP="00AB75AA">
            <w:pPr>
              <w:jc w:val="center"/>
              <w:rPr>
                <w:sz w:val="20"/>
                <w:szCs w:val="20"/>
              </w:rPr>
            </w:pPr>
            <w:r>
              <w:rPr>
                <w:sz w:val="20"/>
                <w:szCs w:val="20"/>
              </w:rPr>
              <w:t>0.112</w:t>
            </w:r>
          </w:p>
        </w:tc>
      </w:tr>
    </w:tbl>
    <w:p w:rsidR="00BB595B" w:rsidRPr="002C560B" w:rsidRDefault="00BB595B" w:rsidP="00BB595B">
      <w:pPr>
        <w:rPr>
          <w:sz w:val="20"/>
          <w:szCs w:val="20"/>
        </w:rPr>
      </w:pPr>
    </w:p>
    <w:p w:rsidR="00BB595B" w:rsidRDefault="00BB595B" w:rsidP="00BB595B">
      <w:pPr>
        <w:rPr>
          <w:sz w:val="20"/>
          <w:szCs w:val="20"/>
        </w:rPr>
        <w:sectPr w:rsidR="00BB595B">
          <w:pgSz w:w="15840" w:h="12240" w:orient="landscape"/>
          <w:pgMar w:top="1440" w:right="1440" w:bottom="1440" w:left="1440" w:header="720" w:footer="720" w:gutter="0"/>
          <w:cols w:space="720"/>
          <w:docGrid w:linePitch="360"/>
        </w:sectPr>
      </w:pPr>
    </w:p>
    <w:p w:rsidR="00BB595B" w:rsidRPr="002C560B" w:rsidRDefault="00BB595B" w:rsidP="00BB595B">
      <w:pPr>
        <w:rPr>
          <w:sz w:val="20"/>
          <w:szCs w:val="20"/>
        </w:rPr>
      </w:pPr>
      <w:r w:rsidRPr="002C560B">
        <w:rPr>
          <w:sz w:val="20"/>
          <w:szCs w:val="20"/>
        </w:rPr>
        <w:t xml:space="preserve">(1) raw estimates </w:t>
      </w:r>
    </w:p>
    <w:p w:rsidR="00BB595B" w:rsidRPr="002C560B" w:rsidRDefault="00BB595B" w:rsidP="00BB595B">
      <w:pPr>
        <w:rPr>
          <w:sz w:val="20"/>
          <w:szCs w:val="20"/>
        </w:rPr>
      </w:pPr>
      <w:r w:rsidRPr="002C560B">
        <w:rPr>
          <w:sz w:val="20"/>
          <w:szCs w:val="20"/>
        </w:rPr>
        <w:t>(2) conservative estimates bounded by three st</w:t>
      </w:r>
      <w:r>
        <w:rPr>
          <w:sz w:val="20"/>
          <w:szCs w:val="20"/>
        </w:rPr>
        <w:t>d.</w:t>
      </w:r>
      <w:r w:rsidRPr="002C560B">
        <w:rPr>
          <w:sz w:val="20"/>
          <w:szCs w:val="20"/>
        </w:rPr>
        <w:t xml:space="preserve"> deviations above the mean </w:t>
      </w:r>
    </w:p>
    <w:p w:rsidR="00BB595B" w:rsidRPr="002C560B" w:rsidRDefault="00BB595B" w:rsidP="00BB595B">
      <w:pPr>
        <w:rPr>
          <w:sz w:val="20"/>
          <w:szCs w:val="20"/>
        </w:rPr>
      </w:pPr>
      <w:r w:rsidRPr="002C560B">
        <w:rPr>
          <w:sz w:val="20"/>
          <w:szCs w:val="20"/>
        </w:rPr>
        <w:t xml:space="preserve">(3) conservative estimates bounded by two </w:t>
      </w:r>
      <w:r>
        <w:rPr>
          <w:sz w:val="20"/>
          <w:szCs w:val="20"/>
        </w:rPr>
        <w:t>std.</w:t>
      </w:r>
      <w:r w:rsidRPr="002C560B">
        <w:rPr>
          <w:sz w:val="20"/>
          <w:szCs w:val="20"/>
        </w:rPr>
        <w:t xml:space="preserve"> deviations above the mean</w:t>
      </w:r>
    </w:p>
    <w:p w:rsidR="00BB595B" w:rsidRPr="002C560B" w:rsidRDefault="00BB595B" w:rsidP="00BB595B">
      <w:pPr>
        <w:rPr>
          <w:sz w:val="20"/>
          <w:szCs w:val="20"/>
        </w:rPr>
      </w:pPr>
      <w:r w:rsidRPr="002C560B">
        <w:rPr>
          <w:sz w:val="20"/>
          <w:szCs w:val="20"/>
        </w:rPr>
        <w:t xml:space="preserve">(4) conservative estimates bounded by one </w:t>
      </w:r>
      <w:r>
        <w:rPr>
          <w:sz w:val="20"/>
          <w:szCs w:val="20"/>
        </w:rPr>
        <w:t>std.</w:t>
      </w:r>
      <w:r w:rsidRPr="002C560B">
        <w:rPr>
          <w:sz w:val="20"/>
          <w:szCs w:val="20"/>
        </w:rPr>
        <w:t xml:space="preserve"> deviation above the mean</w:t>
      </w:r>
    </w:p>
    <w:p w:rsidR="00BB595B" w:rsidRDefault="00BB595B" w:rsidP="00BB595B">
      <w:pPr>
        <w:rPr>
          <w:sz w:val="20"/>
          <w:szCs w:val="20"/>
        </w:rPr>
        <w:sectPr w:rsidR="00BB595B" w:rsidSect="00AB75AA">
          <w:type w:val="continuous"/>
          <w:pgSz w:w="15840" w:h="12240" w:orient="landscape"/>
          <w:pgMar w:top="1440" w:right="1440" w:bottom="1440" w:left="1440" w:header="720" w:footer="720" w:gutter="0"/>
          <w:cols w:num="2" w:space="720"/>
          <w:docGrid w:linePitch="360"/>
        </w:sectPr>
      </w:pPr>
      <w:r w:rsidRPr="004B77AA">
        <w:rPr>
          <w:sz w:val="20"/>
          <w:szCs w:val="20"/>
          <w:vertAlign w:val="superscript"/>
        </w:rPr>
        <w:t>†</w:t>
      </w:r>
      <w:r>
        <w:rPr>
          <w:sz w:val="20"/>
          <w:szCs w:val="20"/>
        </w:rPr>
        <w:t xml:space="preserve"> </w:t>
      </w:r>
      <w:r>
        <w:rPr>
          <w:sz w:val="20"/>
          <w:szCs w:val="20"/>
        </w:rPr>
        <w:sym w:font="Symbol" w:char="F061"/>
      </w:r>
      <w:r>
        <w:rPr>
          <w:sz w:val="20"/>
          <w:szCs w:val="20"/>
        </w:rPr>
        <w:t>&lt;0.5 indicates an acceptable fit of the MPI frontier to the observed productivity pattern in the industry. 25 out of 26 industries in the sample are described adequately with the MPI frontier; the utility industry (</w:t>
      </w:r>
      <w:r>
        <w:rPr>
          <w:sz w:val="20"/>
          <w:szCs w:val="20"/>
        </w:rPr>
        <w:sym w:font="Symbol" w:char="F061"/>
      </w:r>
      <w:r>
        <w:rPr>
          <w:sz w:val="20"/>
          <w:szCs w:val="20"/>
        </w:rPr>
        <w:t>=0.646) is the only exception.</w:t>
      </w:r>
    </w:p>
    <w:p w:rsidR="00BB595B" w:rsidRDefault="00BB595B" w:rsidP="00BB595B">
      <w:pPr>
        <w:spacing w:line="480" w:lineRule="auto"/>
        <w:rPr>
          <w:sz w:val="20"/>
          <w:szCs w:val="20"/>
        </w:rPr>
      </w:pPr>
    </w:p>
    <w:p w:rsidR="00BB595B" w:rsidRPr="00A7460E" w:rsidRDefault="00BB595B" w:rsidP="00BB595B">
      <w:pPr>
        <w:spacing w:line="360" w:lineRule="auto"/>
        <w:rPr>
          <w:b/>
        </w:rPr>
      </w:pPr>
      <w:r w:rsidRPr="00A7460E">
        <w:rPr>
          <w:b/>
        </w:rPr>
        <w:t>Appendix A: The Input-Oriented Case</w:t>
      </w:r>
    </w:p>
    <w:p w:rsidR="00BB595B" w:rsidRPr="00A7460E" w:rsidRDefault="00BB595B" w:rsidP="00BB595B">
      <w:pPr>
        <w:spacing w:line="360" w:lineRule="auto"/>
      </w:pPr>
      <w:r w:rsidRPr="00A7460E">
        <w:t>Although the output orientation was needed for the present application the MPI estimated frontier function y</w:t>
      </w:r>
      <w:r w:rsidRPr="00A7460E">
        <w:rPr>
          <w:vertAlign w:val="subscript"/>
        </w:rPr>
        <w:t>j</w:t>
      </w:r>
      <w:r w:rsidRPr="00A7460E">
        <w:t xml:space="preserve">* = </w:t>
      </w:r>
      <w:r w:rsidRPr="00A7460E">
        <w:rPr>
          <w:position w:val="-16"/>
        </w:rPr>
        <w:object w:dxaOrig="620" w:dyaOrig="480">
          <v:shape id="_x0000_i1034" type="#_x0000_t75" style="width:30.75pt;height:24pt" o:ole="">
            <v:imagedata r:id="rId31" o:title=""/>
          </v:shape>
          <o:OLEObject Type="Embed" ProgID="Equation.3" ShapeID="_x0000_i1034" DrawAspect="Content" ObjectID="_1573985606" r:id="rId32"/>
        </w:object>
      </w:r>
      <w:r w:rsidRPr="00A7460E">
        <w:t>v</w:t>
      </w:r>
      <w:r w:rsidRPr="00A7460E">
        <w:rPr>
          <w:vertAlign w:val="subscript"/>
        </w:rPr>
        <w:t>i</w:t>
      </w:r>
      <w:r w:rsidRPr="00A7460E">
        <w:t>*x</w:t>
      </w:r>
      <w:r w:rsidRPr="00A7460E">
        <w:rPr>
          <w:vertAlign w:val="subscript"/>
        </w:rPr>
        <w:t>ij</w:t>
      </w:r>
      <w:r w:rsidRPr="00A7460E">
        <w:t xml:space="preserve">= </w:t>
      </w:r>
      <w:r w:rsidRPr="00A7460E">
        <w:sym w:font="Symbol" w:char="F0E1"/>
      </w:r>
      <w:r w:rsidRPr="00A7460E">
        <w:rPr>
          <w:b/>
        </w:rPr>
        <w:t>v</w:t>
      </w:r>
      <w:r w:rsidRPr="00A7460E">
        <w:t>*,</w:t>
      </w:r>
      <w:r w:rsidRPr="00A7460E">
        <w:rPr>
          <w:b/>
        </w:rPr>
        <w:t>x</w:t>
      </w:r>
      <w:r w:rsidRPr="00A7460E">
        <w:sym w:font="Symbol" w:char="F0F1"/>
      </w:r>
      <w:r w:rsidRPr="00A7460E">
        <w:t xml:space="preserve"> might also be applied in an input-oriented fashion. We discuss this case briefly here for comparison. Given the observed input vector </w:t>
      </w:r>
      <w:r w:rsidRPr="00A7460E">
        <w:rPr>
          <w:b/>
        </w:rPr>
        <w:t>x</w:t>
      </w:r>
      <w:r w:rsidRPr="00A7460E">
        <w:rPr>
          <w:vertAlign w:val="superscript"/>
        </w:rPr>
        <w:t>0</w:t>
      </w:r>
      <w:r w:rsidRPr="00A7460E">
        <w:t xml:space="preserve"> and output y</w:t>
      </w:r>
      <w:r w:rsidRPr="00A7460E">
        <w:rPr>
          <w:vertAlign w:val="superscript"/>
        </w:rPr>
        <w:t>0</w:t>
      </w:r>
      <w:r w:rsidRPr="00A7460E">
        <w:t>we can regard y</w:t>
      </w:r>
      <w:r w:rsidRPr="00A7460E">
        <w:rPr>
          <w:vertAlign w:val="superscript"/>
        </w:rPr>
        <w:t>0</w:t>
      </w:r>
      <w:r w:rsidRPr="00A7460E">
        <w:t xml:space="preserve"> as essentially the desired output with inefficiency occurring in the choice of</w:t>
      </w:r>
      <w:r w:rsidRPr="00A7460E">
        <w:rPr>
          <w:b/>
        </w:rPr>
        <w:t>x</w:t>
      </w:r>
      <w:r w:rsidRPr="00A7460E">
        <w:rPr>
          <w:vertAlign w:val="superscript"/>
        </w:rPr>
        <w:t>0</w:t>
      </w:r>
      <w:r w:rsidRPr="00A7460E">
        <w:t>. We then consider the hyperplane y</w:t>
      </w:r>
      <w:r w:rsidRPr="00A7460E">
        <w:rPr>
          <w:vertAlign w:val="superscript"/>
        </w:rPr>
        <w:t>0</w:t>
      </w:r>
      <w:r w:rsidRPr="00A7460E">
        <w:t xml:space="preserve"> =</w:t>
      </w:r>
      <w:r w:rsidRPr="00A7460E">
        <w:sym w:font="Symbol" w:char="F0E1"/>
      </w:r>
      <w:r w:rsidRPr="00A7460E">
        <w:rPr>
          <w:b/>
        </w:rPr>
        <w:t>v</w:t>
      </w:r>
      <w:r w:rsidRPr="00A7460E">
        <w:t>*,</w:t>
      </w:r>
      <w:r w:rsidRPr="00A7460E">
        <w:rPr>
          <w:b/>
        </w:rPr>
        <w:t>x</w:t>
      </w:r>
      <w:r w:rsidRPr="00A7460E">
        <w:sym w:font="Symbol" w:char="F0F1"/>
      </w:r>
      <w:r w:rsidRPr="00A7460E">
        <w:t xml:space="preserve"> as determining the set of efficient vectors </w:t>
      </w:r>
      <w:r w:rsidRPr="00A7460E">
        <w:rPr>
          <w:b/>
        </w:rPr>
        <w:t xml:space="preserve">x </w:t>
      </w:r>
      <w:r w:rsidRPr="00A7460E">
        <w:t>associated with y</w:t>
      </w:r>
      <w:r w:rsidRPr="00A7460E">
        <w:rPr>
          <w:vertAlign w:val="superscript"/>
        </w:rPr>
        <w:t>0</w:t>
      </w:r>
      <w:r w:rsidRPr="00A7460E">
        <w:t>. Let d</w:t>
      </w:r>
      <w:r w:rsidRPr="00A7460E">
        <w:rPr>
          <w:vertAlign w:val="subscript"/>
        </w:rPr>
        <w:t>j</w:t>
      </w:r>
      <w:r w:rsidRPr="00A7460E">
        <w:t xml:space="preserve"> be the distance from</w:t>
      </w:r>
      <w:r w:rsidRPr="00A7460E">
        <w:rPr>
          <w:b/>
        </w:rPr>
        <w:t>x</w:t>
      </w:r>
      <w:r w:rsidRPr="00A7460E">
        <w:rPr>
          <w:vertAlign w:val="superscript"/>
        </w:rPr>
        <w:t>0</w:t>
      </w:r>
      <w:r w:rsidRPr="00A7460E">
        <w:t xml:space="preserve">to this hyperplane. Noting that the gradient of the frontier function is the coefficient vector </w:t>
      </w:r>
      <w:r w:rsidRPr="00A7460E">
        <w:rPr>
          <w:b/>
        </w:rPr>
        <w:t>v</w:t>
      </w:r>
      <w:r w:rsidRPr="00A7460E">
        <w:t xml:space="preserve">*, the reader can verify that </w:t>
      </w:r>
    </w:p>
    <w:p w:rsidR="00BB595B" w:rsidRPr="00A7460E" w:rsidRDefault="00BB595B" w:rsidP="00BB595B">
      <w:pPr>
        <w:spacing w:line="360" w:lineRule="auto"/>
      </w:pPr>
      <w:r w:rsidRPr="00A7460E">
        <w:t>d</w:t>
      </w:r>
      <w:r w:rsidRPr="00A7460E">
        <w:rPr>
          <w:vertAlign w:val="subscript"/>
        </w:rPr>
        <w:t>j</w:t>
      </w:r>
      <w:r w:rsidRPr="00A7460E">
        <w:t xml:space="preserve"> = </w:t>
      </w:r>
      <w:r w:rsidRPr="00A7460E">
        <w:sym w:font="Symbol" w:char="F07C"/>
      </w:r>
      <w:r w:rsidRPr="00A7460E">
        <w:sym w:font="Symbol" w:char="F07C"/>
      </w:r>
      <w:r w:rsidRPr="00A7460E">
        <w:rPr>
          <w:b/>
        </w:rPr>
        <w:t>v</w:t>
      </w:r>
      <w:r w:rsidRPr="00A7460E">
        <w:t>*</w:t>
      </w:r>
      <w:r w:rsidRPr="00A7460E">
        <w:sym w:font="Symbol" w:char="F07C"/>
      </w:r>
      <w:r w:rsidRPr="00A7460E">
        <w:sym w:font="Symbol" w:char="F07C"/>
      </w:r>
      <w:r w:rsidRPr="00A7460E">
        <w:rPr>
          <w:vertAlign w:val="superscript"/>
        </w:rPr>
        <w:sym w:font="Symbol" w:char="F02D"/>
      </w:r>
      <w:r w:rsidRPr="00A7460E">
        <w:rPr>
          <w:vertAlign w:val="superscript"/>
        </w:rPr>
        <w:t>1</w:t>
      </w:r>
      <w:r w:rsidRPr="00A7460E">
        <w:t>(y</w:t>
      </w:r>
      <w:r w:rsidRPr="00A7460E">
        <w:rPr>
          <w:vertAlign w:val="superscript"/>
        </w:rPr>
        <w:t>0</w:t>
      </w:r>
      <w:r w:rsidRPr="00A7460E">
        <w:t xml:space="preserve">– </w:t>
      </w:r>
      <w:r w:rsidRPr="00A7460E">
        <w:sym w:font="Symbol" w:char="F0E1"/>
      </w:r>
      <w:r w:rsidRPr="00A7460E">
        <w:rPr>
          <w:b/>
        </w:rPr>
        <w:t>v</w:t>
      </w:r>
      <w:r w:rsidRPr="00A7460E">
        <w:t>*,</w:t>
      </w:r>
      <w:r w:rsidRPr="00A7460E">
        <w:rPr>
          <w:b/>
        </w:rPr>
        <w:t>x</w:t>
      </w:r>
      <w:r w:rsidRPr="00A7460E">
        <w:rPr>
          <w:vertAlign w:val="superscript"/>
        </w:rPr>
        <w:t>0</w:t>
      </w:r>
      <w:r w:rsidRPr="00A7460E">
        <w:sym w:font="Symbol" w:char="F0F1"/>
      </w:r>
      <w:r w:rsidRPr="00A7460E">
        <w:t>).  Then d</w:t>
      </w:r>
      <w:r w:rsidRPr="00A7460E">
        <w:rPr>
          <w:vertAlign w:val="subscript"/>
        </w:rPr>
        <w:t xml:space="preserve">j </w:t>
      </w:r>
      <w:r w:rsidRPr="00A7460E">
        <w:t xml:space="preserve">would replace </w:t>
      </w:r>
      <w:r w:rsidRPr="00A7460E">
        <w:sym w:font="Symbol" w:char="F064"/>
      </w:r>
      <w:r w:rsidRPr="00A7460E">
        <w:rPr>
          <w:vertAlign w:val="subscript"/>
        </w:rPr>
        <w:t>j</w:t>
      </w:r>
      <w:r w:rsidRPr="00A7460E">
        <w:t xml:space="preserve"> for this case.</w:t>
      </w:r>
    </w:p>
    <w:p w:rsidR="00BB595B" w:rsidRPr="00A7460E" w:rsidRDefault="00BB595B" w:rsidP="00BB595B">
      <w:pPr>
        <w:spacing w:line="360" w:lineRule="auto"/>
      </w:pPr>
    </w:p>
    <w:p w:rsidR="00BB595B" w:rsidRPr="00A7460E" w:rsidRDefault="00BB595B" w:rsidP="00BB595B">
      <w:pPr>
        <w:spacing w:line="360" w:lineRule="auto"/>
        <w:rPr>
          <w:b/>
        </w:rPr>
      </w:pPr>
      <w:r w:rsidRPr="00A7460E">
        <w:rPr>
          <w:b/>
        </w:rPr>
        <w:br w:type="page"/>
      </w:r>
      <w:r w:rsidRPr="00A7460E" w:rsidDel="00E7190B">
        <w:rPr>
          <w:b/>
        </w:rPr>
        <w:lastRenderedPageBreak/>
        <w:t xml:space="preserve"> </w:t>
      </w:r>
      <w:r w:rsidRPr="00A7460E">
        <w:rPr>
          <w:b/>
        </w:rPr>
        <w:t>Appendix B: Derivation of the TMA Inequality For Gamma and Weibull Distributions</w:t>
      </w:r>
    </w:p>
    <w:p w:rsidR="00BB595B" w:rsidRPr="00A7460E" w:rsidRDefault="00BB595B" w:rsidP="00BB595B">
      <w:pPr>
        <w:spacing w:line="360" w:lineRule="auto"/>
        <w:rPr>
          <w:b/>
        </w:rPr>
      </w:pPr>
    </w:p>
    <w:p w:rsidR="00BB595B" w:rsidRPr="00A7460E" w:rsidRDefault="00BB595B" w:rsidP="00BB595B">
      <w:pPr>
        <w:spacing w:line="360" w:lineRule="auto"/>
      </w:pPr>
      <w:r w:rsidRPr="00A7460E">
        <w:t>Here we show that (4) holds for both the gamma and Weibull pdf. We follow Troutt, Pang and Hou (2004; p. 128). Let v(x) be a continuous concave function.  By basic VDR results we f(</w:t>
      </w:r>
      <w:r w:rsidRPr="00A7460E">
        <w:rPr>
          <w:b/>
          <w:bCs/>
        </w:rPr>
        <w:t>x</w:t>
      </w:r>
      <w:r w:rsidRPr="00A7460E">
        <w:t xml:space="preserve">) = </w:t>
      </w:r>
      <w:r w:rsidRPr="00A7460E">
        <w:sym w:font="Symbol" w:char="F066"/>
      </w:r>
      <w:r w:rsidRPr="00A7460E">
        <w:t>(v(</w:t>
      </w:r>
      <w:r w:rsidRPr="00A7460E">
        <w:rPr>
          <w:b/>
          <w:bCs/>
        </w:rPr>
        <w:t>x</w:t>
      </w:r>
      <w:r w:rsidRPr="00A7460E">
        <w:t>)), since A</w:t>
      </w:r>
      <w:r w:rsidRPr="00A7460E">
        <w:sym w:font="Symbol" w:char="F0A2"/>
      </w:r>
      <w:r w:rsidRPr="00A7460E">
        <w:t xml:space="preserve">(u) </w:t>
      </w:r>
      <w:r w:rsidRPr="00A7460E">
        <w:sym w:font="Symbol" w:char="F020"/>
      </w:r>
      <w:r w:rsidRPr="00A7460E">
        <w:sym w:font="Symbol" w:char="F03E"/>
      </w:r>
      <w:r w:rsidRPr="00A7460E">
        <w:t xml:space="preserve"> 0. Therefore </w:t>
      </w:r>
      <w:r w:rsidRPr="00A7460E">
        <w:sym w:font="Symbol" w:char="F066"/>
      </w:r>
      <w:r w:rsidRPr="00A7460E">
        <w:t>(u) = g(u)/A</w:t>
      </w:r>
      <w:r w:rsidRPr="00A7460E">
        <w:sym w:font="Symbol" w:char="F0A2"/>
      </w:r>
      <w:r w:rsidRPr="00A7460E">
        <w:t>(u).</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b/>
          <w:bCs/>
          <w:sz w:val="24"/>
          <w:szCs w:val="24"/>
        </w:rPr>
        <w:t xml:space="preserve">Theorem: </w:t>
      </w:r>
      <w:r w:rsidRPr="00A7460E">
        <w:rPr>
          <w:rFonts w:ascii="Times New Roman" w:hAnsi="Times New Roman"/>
          <w:sz w:val="24"/>
          <w:szCs w:val="24"/>
        </w:rPr>
        <w:t xml:space="preserve"> Suppose v(</w:t>
      </w:r>
      <w:r w:rsidRPr="00A7460E">
        <w:rPr>
          <w:rFonts w:ascii="Times New Roman" w:hAnsi="Times New Roman"/>
          <w:b/>
          <w:bCs/>
          <w:sz w:val="24"/>
          <w:szCs w:val="24"/>
        </w:rPr>
        <w:t>x</w:t>
      </w:r>
      <w:r w:rsidRPr="00A7460E">
        <w:rPr>
          <w:rFonts w:ascii="Times New Roman" w:hAnsi="Times New Roman"/>
          <w:sz w:val="24"/>
          <w:szCs w:val="24"/>
        </w:rPr>
        <w:t xml:space="preserve">) is a continuous concave function on </w:t>
      </w:r>
      <w:r w:rsidRPr="00A7460E">
        <w:rPr>
          <w:rFonts w:ascii="Times New Roman" w:hAnsi="Times New Roman"/>
          <w:sz w:val="24"/>
          <w:szCs w:val="24"/>
        </w:rPr>
        <w:sym w:font="Symbol" w:char="F0C2"/>
      </w:r>
      <w:r w:rsidRPr="00A7460E">
        <w:rPr>
          <w:rFonts w:ascii="Times New Roman" w:hAnsi="Times New Roman"/>
          <w:sz w:val="24"/>
          <w:szCs w:val="24"/>
          <w:vertAlign w:val="superscript"/>
        </w:rPr>
        <w:sym w:font="Symbol" w:char="F06B"/>
      </w:r>
      <w:r w:rsidRPr="00A7460E">
        <w:rPr>
          <w:rFonts w:ascii="Times New Roman" w:hAnsi="Times New Roman"/>
          <w:sz w:val="24"/>
          <w:szCs w:val="24"/>
        </w:rPr>
        <w:t xml:space="preserve"> with minimum of zero at </w:t>
      </w:r>
      <w:r w:rsidRPr="00A7460E">
        <w:rPr>
          <w:rFonts w:ascii="Times New Roman" w:hAnsi="Times New Roman"/>
          <w:b/>
          <w:bCs/>
          <w:sz w:val="24"/>
          <w:szCs w:val="24"/>
        </w:rPr>
        <w:t>x</w:t>
      </w:r>
      <w:r w:rsidRPr="00A7460E">
        <w:rPr>
          <w:rFonts w:ascii="Times New Roman" w:hAnsi="Times New Roman"/>
          <w:sz w:val="24"/>
          <w:szCs w:val="24"/>
        </w:rPr>
        <w:t xml:space="preserve"> = </w:t>
      </w:r>
      <w:r w:rsidRPr="00A7460E">
        <w:rPr>
          <w:rFonts w:ascii="Times New Roman" w:hAnsi="Times New Roman"/>
          <w:b/>
          <w:bCs/>
          <w:sz w:val="24"/>
          <w:szCs w:val="24"/>
        </w:rPr>
        <w:t>0</w:t>
      </w:r>
      <w:r w:rsidRPr="00A7460E">
        <w:rPr>
          <w:rFonts w:ascii="Times New Roman" w:hAnsi="Times New Roman"/>
          <w:sz w:val="24"/>
          <w:szCs w:val="24"/>
        </w:rPr>
        <w:t>.  Let f(</w:t>
      </w:r>
      <w:r w:rsidRPr="00A7460E">
        <w:rPr>
          <w:rFonts w:ascii="Times New Roman" w:hAnsi="Times New Roman"/>
          <w:b/>
          <w:bCs/>
          <w:sz w:val="24"/>
          <w:szCs w:val="24"/>
        </w:rPr>
        <w:t>x</w:t>
      </w:r>
      <w:r w:rsidRPr="00A7460E">
        <w:rPr>
          <w:rFonts w:ascii="Times New Roman" w:hAnsi="Times New Roman"/>
          <w:sz w:val="24"/>
          <w:szCs w:val="24"/>
        </w:rPr>
        <w:t>) be the pdf associated with v(</w:t>
      </w:r>
      <w:r w:rsidRPr="00A7460E">
        <w:rPr>
          <w:rFonts w:ascii="Times New Roman" w:hAnsi="Times New Roman"/>
          <w:b/>
          <w:bCs/>
          <w:sz w:val="24"/>
          <w:szCs w:val="24"/>
        </w:rPr>
        <w:t>x</w:t>
      </w:r>
      <w:r w:rsidRPr="00A7460E">
        <w:rPr>
          <w:rFonts w:ascii="Times New Roman" w:hAnsi="Times New Roman"/>
          <w:sz w:val="24"/>
          <w:szCs w:val="24"/>
        </w:rPr>
        <w:t xml:space="preserve">), g(u) and </w:t>
      </w:r>
      <w:r w:rsidRPr="00A7460E">
        <w:rPr>
          <w:rFonts w:ascii="Times New Roman" w:hAnsi="Times New Roman"/>
          <w:sz w:val="24"/>
          <w:szCs w:val="24"/>
        </w:rPr>
        <w:sym w:font="Symbol" w:char="F066"/>
      </w:r>
      <w:r w:rsidRPr="00A7460E">
        <w:rPr>
          <w:rFonts w:ascii="Times New Roman" w:hAnsi="Times New Roman"/>
          <w:sz w:val="24"/>
          <w:szCs w:val="24"/>
        </w:rPr>
        <w:t xml:space="preserve">(u), where </w:t>
      </w:r>
      <w:r w:rsidRPr="00A7460E">
        <w:rPr>
          <w:rFonts w:ascii="Times New Roman" w:hAnsi="Times New Roman"/>
          <w:sz w:val="24"/>
          <w:szCs w:val="24"/>
        </w:rPr>
        <w:sym w:font="Symbol" w:char="F066"/>
      </w:r>
      <w:r w:rsidRPr="00A7460E">
        <w:rPr>
          <w:rFonts w:ascii="Times New Roman" w:hAnsi="Times New Roman"/>
          <w:sz w:val="24"/>
          <w:szCs w:val="24"/>
        </w:rPr>
        <w:t>(u) = g(u)/</w:t>
      </w:r>
      <w:r w:rsidRPr="00A7460E">
        <w:rPr>
          <w:rFonts w:ascii="Times New Roman" w:hAnsi="Times New Roman"/>
          <w:i/>
          <w:iCs/>
          <w:sz w:val="24"/>
          <w:szCs w:val="24"/>
        </w:rPr>
        <w:t>A</w:t>
      </w:r>
      <w:r w:rsidRPr="00A7460E">
        <w:rPr>
          <w:rFonts w:ascii="Times New Roman" w:hAnsi="Times New Roman"/>
          <w:sz w:val="24"/>
          <w:szCs w:val="24"/>
        </w:rPr>
        <w:t xml:space="preserve">'(u). Assume that </w:t>
      </w:r>
      <w:r w:rsidRPr="00A7460E">
        <w:rPr>
          <w:rFonts w:ascii="Times New Roman" w:hAnsi="Times New Roman"/>
          <w:i/>
          <w:iCs/>
          <w:sz w:val="24"/>
          <w:szCs w:val="24"/>
        </w:rPr>
        <w:t>A</w:t>
      </w:r>
      <w:r w:rsidRPr="00A7460E">
        <w:rPr>
          <w:rFonts w:ascii="Times New Roman" w:hAnsi="Times New Roman"/>
          <w:sz w:val="24"/>
          <w:szCs w:val="24"/>
        </w:rPr>
        <w:t>(u) is twice differentiable with</w:t>
      </w:r>
      <w:r w:rsidRPr="00A7460E">
        <w:rPr>
          <w:rFonts w:ascii="Times New Roman" w:hAnsi="Times New Roman"/>
          <w:i/>
          <w:iCs/>
          <w:sz w:val="24"/>
          <w:szCs w:val="24"/>
        </w:rPr>
        <w:t xml:space="preserve"> A</w:t>
      </w:r>
      <w:r w:rsidRPr="00A7460E">
        <w:rPr>
          <w:rFonts w:ascii="Times New Roman" w:hAnsi="Times New Roman"/>
          <w:sz w:val="24"/>
          <w:szCs w:val="24"/>
        </w:rPr>
        <w:sym w:font="Symbol" w:char="F0A2"/>
      </w:r>
      <w:r w:rsidRPr="00A7460E">
        <w:rPr>
          <w:rFonts w:ascii="Times New Roman" w:hAnsi="Times New Roman"/>
          <w:sz w:val="24"/>
          <w:szCs w:val="24"/>
        </w:rPr>
        <w:t xml:space="preserve">(u) </w:t>
      </w:r>
      <w:r w:rsidRPr="00A7460E">
        <w:rPr>
          <w:rFonts w:ascii="Times New Roman" w:hAnsi="Times New Roman"/>
          <w:sz w:val="24"/>
          <w:szCs w:val="24"/>
        </w:rPr>
        <w:sym w:font="Symbol" w:char="F03E"/>
      </w:r>
      <w:r w:rsidRPr="00A7460E">
        <w:rPr>
          <w:rFonts w:ascii="Times New Roman" w:hAnsi="Times New Roman"/>
          <w:sz w:val="24"/>
          <w:szCs w:val="24"/>
        </w:rPr>
        <w:t xml:space="preserve"> 0. Let g(u) be differentiable and assume g(u) </w:t>
      </w:r>
      <w:r w:rsidRPr="00A7460E">
        <w:rPr>
          <w:rFonts w:ascii="Times New Roman" w:hAnsi="Times New Roman"/>
          <w:sz w:val="24"/>
          <w:szCs w:val="24"/>
        </w:rPr>
        <w:sym w:font="Symbol" w:char="F03E"/>
      </w:r>
      <w:r w:rsidRPr="00A7460E">
        <w:rPr>
          <w:rFonts w:ascii="Times New Roman" w:hAnsi="Times New Roman"/>
          <w:sz w:val="24"/>
          <w:szCs w:val="24"/>
        </w:rPr>
        <w:t xml:space="preserve"> 0 on (0, </w:t>
      </w:r>
      <w:r w:rsidRPr="00A7460E">
        <w:rPr>
          <w:rFonts w:ascii="Times New Roman" w:hAnsi="Times New Roman"/>
          <w:sz w:val="24"/>
          <w:szCs w:val="24"/>
        </w:rPr>
        <w:sym w:font="Symbol" w:char="F0A5"/>
      </w:r>
      <w:r w:rsidRPr="00A7460E">
        <w:rPr>
          <w:rFonts w:ascii="Times New Roman" w:hAnsi="Times New Roman"/>
          <w:sz w:val="24"/>
          <w:szCs w:val="24"/>
        </w:rPr>
        <w:t>).  Then a sufficient condition that the mode of f(</w:t>
      </w:r>
      <w:r w:rsidRPr="00A7460E">
        <w:rPr>
          <w:rFonts w:ascii="Times New Roman" w:hAnsi="Times New Roman"/>
          <w:b/>
          <w:bCs/>
          <w:sz w:val="24"/>
          <w:szCs w:val="24"/>
        </w:rPr>
        <w:t>x</w:t>
      </w:r>
      <w:r w:rsidRPr="00A7460E">
        <w:rPr>
          <w:rFonts w:ascii="Times New Roman" w:hAnsi="Times New Roman"/>
          <w:sz w:val="24"/>
          <w:szCs w:val="24"/>
        </w:rPr>
        <w:t xml:space="preserve">) is </w:t>
      </w:r>
      <w:r w:rsidRPr="00A7460E">
        <w:rPr>
          <w:rFonts w:ascii="Times New Roman" w:hAnsi="Times New Roman"/>
          <w:b/>
          <w:bCs/>
          <w:sz w:val="24"/>
          <w:szCs w:val="24"/>
        </w:rPr>
        <w:t>0</w:t>
      </w:r>
      <w:r w:rsidRPr="00A7460E">
        <w:rPr>
          <w:rFonts w:ascii="Times New Roman" w:hAnsi="Times New Roman"/>
          <w:sz w:val="24"/>
          <w:szCs w:val="24"/>
        </w:rPr>
        <w:t xml:space="preserve"> is that </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sz w:val="24"/>
          <w:szCs w:val="24"/>
        </w:rPr>
        <w:t xml:space="preserve">                                                           </w:t>
      </w:r>
      <w:r w:rsidRPr="00A7460E">
        <w:rPr>
          <w:rFonts w:ascii="Times New Roman" w:hAnsi="Times New Roman"/>
          <w:sz w:val="24"/>
          <w:szCs w:val="24"/>
          <w:lang w:val="es-ES"/>
        </w:rPr>
        <w:t>g</w:t>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(u)/g(u) - </w:t>
      </w:r>
      <w:r w:rsidRPr="00A7460E">
        <w:rPr>
          <w:rFonts w:ascii="Times New Roman" w:hAnsi="Times New Roman"/>
          <w:i/>
          <w:iCs/>
          <w:sz w:val="24"/>
          <w:szCs w:val="24"/>
          <w:lang w:val="es-ES"/>
        </w:rPr>
        <w:t>A</w:t>
      </w:r>
      <w:r w:rsidRPr="00A7460E">
        <w:rPr>
          <w:rFonts w:ascii="Times New Roman" w:hAnsi="Times New Roman"/>
          <w:sz w:val="24"/>
          <w:szCs w:val="24"/>
        </w:rPr>
        <w:sym w:font="Symbol" w:char="F0B2"/>
      </w:r>
      <w:r w:rsidRPr="00A7460E">
        <w:rPr>
          <w:rFonts w:ascii="Times New Roman" w:hAnsi="Times New Roman"/>
          <w:sz w:val="24"/>
          <w:szCs w:val="24"/>
          <w:lang w:val="es-ES"/>
        </w:rPr>
        <w:t>(u)/</w:t>
      </w:r>
      <w:r w:rsidRPr="00A7460E">
        <w:rPr>
          <w:rFonts w:ascii="Times New Roman" w:hAnsi="Times New Roman"/>
          <w:i/>
          <w:iCs/>
          <w:sz w:val="24"/>
          <w:szCs w:val="24"/>
          <w:lang w:val="es-ES"/>
        </w:rPr>
        <w:t>A</w:t>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 </w:t>
      </w:r>
      <w:r w:rsidRPr="00A7460E">
        <w:rPr>
          <w:rFonts w:ascii="Times New Roman" w:hAnsi="Times New Roman"/>
          <w:sz w:val="24"/>
          <w:szCs w:val="24"/>
        </w:rPr>
        <w:sym w:font="Symbol" w:char="F03C"/>
      </w:r>
      <w:r w:rsidRPr="00A7460E">
        <w:rPr>
          <w:rFonts w:ascii="Times New Roman" w:hAnsi="Times New Roman"/>
          <w:sz w:val="24"/>
          <w:szCs w:val="24"/>
          <w:lang w:val="es-ES"/>
        </w:rPr>
        <w:t xml:space="preserve"> 0  for u </w:t>
      </w:r>
      <w:r w:rsidRPr="00A7460E">
        <w:rPr>
          <w:rFonts w:ascii="Times New Roman" w:hAnsi="Times New Roman"/>
          <w:sz w:val="24"/>
          <w:szCs w:val="24"/>
        </w:rPr>
        <w:sym w:font="Symbol" w:char="F03E"/>
      </w:r>
      <w:r w:rsidRPr="00A7460E">
        <w:rPr>
          <w:rFonts w:ascii="Times New Roman" w:hAnsi="Times New Roman"/>
          <w:sz w:val="24"/>
          <w:szCs w:val="24"/>
          <w:lang w:val="es-ES"/>
        </w:rPr>
        <w:t xml:space="preserve"> 0.                            </w:t>
      </w:r>
      <w:r w:rsidRPr="00A7460E">
        <w:rPr>
          <w:rFonts w:ascii="Times New Roman" w:hAnsi="Times New Roman"/>
          <w:sz w:val="24"/>
          <w:szCs w:val="24"/>
        </w:rPr>
        <w:t>(A1)</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b/>
          <w:bCs/>
          <w:sz w:val="24"/>
          <w:szCs w:val="24"/>
        </w:rPr>
        <w:t>Proof:</w:t>
      </w:r>
      <w:r w:rsidRPr="00A7460E">
        <w:rPr>
          <w:rFonts w:ascii="Times New Roman" w:hAnsi="Times New Roman"/>
          <w:sz w:val="24"/>
          <w:szCs w:val="24"/>
        </w:rPr>
        <w:t xml:space="preserve"> Since f(</w:t>
      </w:r>
      <w:r w:rsidRPr="00A7460E">
        <w:rPr>
          <w:rFonts w:ascii="Times New Roman" w:hAnsi="Times New Roman"/>
          <w:b/>
          <w:bCs/>
          <w:sz w:val="24"/>
          <w:szCs w:val="24"/>
        </w:rPr>
        <w:t>x</w:t>
      </w:r>
      <w:r w:rsidRPr="00A7460E">
        <w:rPr>
          <w:rFonts w:ascii="Times New Roman" w:hAnsi="Times New Roman"/>
          <w:sz w:val="24"/>
          <w:szCs w:val="24"/>
        </w:rPr>
        <w:t xml:space="preserve">) = </w:t>
      </w:r>
      <w:r w:rsidRPr="00A7460E">
        <w:rPr>
          <w:rFonts w:ascii="Times New Roman" w:hAnsi="Times New Roman"/>
          <w:sz w:val="24"/>
          <w:szCs w:val="24"/>
        </w:rPr>
        <w:sym w:font="Symbol" w:char="F066"/>
      </w:r>
      <w:r w:rsidRPr="00A7460E">
        <w:rPr>
          <w:rFonts w:ascii="Times New Roman" w:hAnsi="Times New Roman"/>
          <w:sz w:val="24"/>
          <w:szCs w:val="24"/>
        </w:rPr>
        <w:t>(v(</w:t>
      </w:r>
      <w:r w:rsidRPr="00A7460E">
        <w:rPr>
          <w:rFonts w:ascii="Times New Roman" w:hAnsi="Times New Roman"/>
          <w:b/>
          <w:bCs/>
          <w:sz w:val="24"/>
          <w:szCs w:val="24"/>
        </w:rPr>
        <w:t>x</w:t>
      </w:r>
      <w:r w:rsidRPr="00A7460E">
        <w:rPr>
          <w:rFonts w:ascii="Times New Roman" w:hAnsi="Times New Roman"/>
          <w:sz w:val="24"/>
          <w:szCs w:val="24"/>
        </w:rPr>
        <w:t>)), a sufficient condition that the mode of f(</w:t>
      </w:r>
      <w:r w:rsidRPr="00A7460E">
        <w:rPr>
          <w:rFonts w:ascii="Times New Roman" w:hAnsi="Times New Roman"/>
          <w:b/>
          <w:bCs/>
          <w:sz w:val="24"/>
          <w:szCs w:val="24"/>
        </w:rPr>
        <w:t>x</w:t>
      </w:r>
      <w:r w:rsidRPr="00A7460E">
        <w:rPr>
          <w:rFonts w:ascii="Times New Roman" w:hAnsi="Times New Roman"/>
          <w:sz w:val="24"/>
          <w:szCs w:val="24"/>
        </w:rPr>
        <w:t xml:space="preserve">) is </w:t>
      </w:r>
      <w:r w:rsidRPr="00A7460E">
        <w:rPr>
          <w:rFonts w:ascii="Times New Roman" w:hAnsi="Times New Roman"/>
          <w:b/>
          <w:bCs/>
          <w:sz w:val="24"/>
          <w:szCs w:val="24"/>
        </w:rPr>
        <w:t>0</w:t>
      </w:r>
      <w:r w:rsidRPr="00A7460E">
        <w:rPr>
          <w:rFonts w:ascii="Times New Roman" w:hAnsi="Times New Roman"/>
          <w:sz w:val="24"/>
          <w:szCs w:val="24"/>
        </w:rPr>
        <w:t xml:space="preserve"> is that </w:t>
      </w:r>
      <w:r w:rsidRPr="00A7460E">
        <w:rPr>
          <w:rFonts w:ascii="Times New Roman" w:hAnsi="Times New Roman"/>
          <w:sz w:val="24"/>
          <w:szCs w:val="24"/>
        </w:rPr>
        <w:sym w:font="Symbol" w:char="F066"/>
      </w:r>
      <w:r w:rsidRPr="00A7460E">
        <w:rPr>
          <w:rFonts w:ascii="Times New Roman" w:hAnsi="Times New Roman"/>
          <w:sz w:val="24"/>
          <w:szCs w:val="24"/>
        </w:rPr>
        <w:t xml:space="preserve">(u) is monotone strictly decreasing on (0, </w:t>
      </w:r>
      <w:r w:rsidRPr="00A7460E">
        <w:rPr>
          <w:rFonts w:ascii="Times New Roman" w:hAnsi="Times New Roman"/>
          <w:sz w:val="24"/>
          <w:szCs w:val="24"/>
        </w:rPr>
        <w:sym w:font="Symbol" w:char="F0A5"/>
      </w:r>
      <w:r w:rsidRPr="00A7460E">
        <w:rPr>
          <w:rFonts w:ascii="Times New Roman" w:hAnsi="Times New Roman"/>
          <w:sz w:val="24"/>
          <w:szCs w:val="24"/>
        </w:rPr>
        <w:t xml:space="preserve">), or equivalently, </w:t>
      </w:r>
      <w:r w:rsidRPr="00A7460E">
        <w:rPr>
          <w:rFonts w:ascii="Times New Roman" w:hAnsi="Times New Roman"/>
          <w:sz w:val="24"/>
          <w:szCs w:val="24"/>
        </w:rPr>
        <w:sym w:font="Symbol" w:char="F066"/>
      </w:r>
      <w:r w:rsidRPr="00A7460E">
        <w:rPr>
          <w:rFonts w:ascii="Times New Roman" w:hAnsi="Times New Roman"/>
          <w:sz w:val="24"/>
          <w:szCs w:val="24"/>
        </w:rPr>
        <w:sym w:font="Symbol" w:char="F0A2"/>
      </w:r>
      <w:r w:rsidRPr="00A7460E">
        <w:rPr>
          <w:rFonts w:ascii="Times New Roman" w:hAnsi="Times New Roman"/>
          <w:sz w:val="24"/>
          <w:szCs w:val="24"/>
        </w:rPr>
        <w:t xml:space="preserve">(u) </w:t>
      </w:r>
      <w:r w:rsidRPr="00A7460E">
        <w:rPr>
          <w:rFonts w:ascii="Times New Roman" w:hAnsi="Times New Roman"/>
          <w:sz w:val="24"/>
          <w:szCs w:val="24"/>
        </w:rPr>
        <w:sym w:font="Symbol" w:char="F03C"/>
      </w:r>
      <w:r w:rsidRPr="00A7460E">
        <w:rPr>
          <w:rFonts w:ascii="Times New Roman" w:hAnsi="Times New Roman"/>
          <w:sz w:val="24"/>
          <w:szCs w:val="24"/>
        </w:rPr>
        <w:t xml:space="preserve"> 0 on the open half-line.  By the assumptions on g(u) and </w:t>
      </w:r>
      <w:r w:rsidRPr="00A7460E">
        <w:rPr>
          <w:rFonts w:ascii="Times New Roman" w:hAnsi="Times New Roman"/>
          <w:i/>
          <w:iCs/>
          <w:sz w:val="24"/>
          <w:szCs w:val="24"/>
        </w:rPr>
        <w:t>A</w:t>
      </w:r>
      <w:r w:rsidRPr="00A7460E">
        <w:rPr>
          <w:rFonts w:ascii="Times New Roman" w:hAnsi="Times New Roman"/>
          <w:sz w:val="24"/>
          <w:szCs w:val="24"/>
        </w:rPr>
        <w:t xml:space="preserve">'(u), </w:t>
      </w:r>
      <w:r w:rsidRPr="00A7460E">
        <w:rPr>
          <w:rFonts w:ascii="Times New Roman" w:hAnsi="Times New Roman"/>
          <w:sz w:val="24"/>
          <w:szCs w:val="24"/>
        </w:rPr>
        <w:sym w:font="Symbol" w:char="F066"/>
      </w:r>
      <w:r w:rsidRPr="00A7460E">
        <w:rPr>
          <w:rFonts w:ascii="Times New Roman" w:hAnsi="Times New Roman"/>
          <w:sz w:val="24"/>
          <w:szCs w:val="24"/>
        </w:rPr>
        <w:t xml:space="preserve">(u) is differentiable on (0, </w:t>
      </w:r>
      <w:r w:rsidRPr="00A7460E">
        <w:rPr>
          <w:rFonts w:ascii="Times New Roman" w:hAnsi="Times New Roman"/>
          <w:sz w:val="24"/>
          <w:szCs w:val="24"/>
        </w:rPr>
        <w:sym w:font="Symbol" w:char="F0A5"/>
      </w:r>
      <w:r w:rsidRPr="00A7460E">
        <w:rPr>
          <w:rFonts w:ascii="Times New Roman" w:hAnsi="Times New Roman"/>
          <w:sz w:val="24"/>
          <w:szCs w:val="24"/>
        </w:rPr>
        <w:t xml:space="preserve">). Taking the logarithmic derivative of </w:t>
      </w:r>
      <w:r w:rsidRPr="00A7460E">
        <w:rPr>
          <w:rFonts w:ascii="Times New Roman" w:hAnsi="Times New Roman"/>
          <w:sz w:val="24"/>
          <w:szCs w:val="24"/>
        </w:rPr>
        <w:sym w:font="Symbol" w:char="F066"/>
      </w:r>
      <w:r w:rsidRPr="00A7460E">
        <w:rPr>
          <w:rFonts w:ascii="Times New Roman" w:hAnsi="Times New Roman"/>
          <w:sz w:val="24"/>
          <w:szCs w:val="24"/>
        </w:rPr>
        <w:t>(u) = g(u)/</w:t>
      </w:r>
      <w:r w:rsidRPr="00A7460E">
        <w:rPr>
          <w:rFonts w:ascii="Times New Roman" w:hAnsi="Times New Roman"/>
          <w:i/>
          <w:iCs/>
          <w:sz w:val="24"/>
          <w:szCs w:val="24"/>
        </w:rPr>
        <w:t>A</w:t>
      </w:r>
      <w:r w:rsidRPr="00A7460E">
        <w:rPr>
          <w:rFonts w:ascii="Times New Roman" w:hAnsi="Times New Roman"/>
          <w:sz w:val="24"/>
          <w:szCs w:val="24"/>
        </w:rPr>
        <w:t xml:space="preserve">'(u) shows that </w:t>
      </w:r>
      <w:r w:rsidRPr="00A7460E">
        <w:rPr>
          <w:rFonts w:ascii="Times New Roman" w:hAnsi="Times New Roman"/>
          <w:sz w:val="24"/>
          <w:szCs w:val="24"/>
        </w:rPr>
        <w:sym w:font="Symbol" w:char="F066"/>
      </w:r>
      <w:r w:rsidRPr="00A7460E">
        <w:rPr>
          <w:rFonts w:ascii="Times New Roman" w:hAnsi="Times New Roman"/>
          <w:sz w:val="24"/>
          <w:szCs w:val="24"/>
        </w:rPr>
        <w:sym w:font="Symbol" w:char="F0A2"/>
      </w:r>
      <w:r w:rsidRPr="00A7460E">
        <w:rPr>
          <w:rFonts w:ascii="Times New Roman" w:hAnsi="Times New Roman"/>
          <w:sz w:val="24"/>
          <w:szCs w:val="24"/>
        </w:rPr>
        <w:t>(u)/</w:t>
      </w:r>
      <w:r w:rsidRPr="00A7460E">
        <w:rPr>
          <w:rFonts w:ascii="Times New Roman" w:hAnsi="Times New Roman"/>
          <w:sz w:val="24"/>
          <w:szCs w:val="24"/>
        </w:rPr>
        <w:sym w:font="Symbol" w:char="F066"/>
      </w:r>
      <w:r w:rsidRPr="00A7460E">
        <w:rPr>
          <w:rFonts w:ascii="Times New Roman" w:hAnsi="Times New Roman"/>
          <w:sz w:val="24"/>
          <w:szCs w:val="24"/>
        </w:rPr>
        <w:t>(u) = g</w:t>
      </w:r>
      <w:r w:rsidRPr="00A7460E">
        <w:rPr>
          <w:rFonts w:ascii="Times New Roman" w:hAnsi="Times New Roman"/>
          <w:sz w:val="24"/>
          <w:szCs w:val="24"/>
        </w:rPr>
        <w:sym w:font="Symbol" w:char="F0A2"/>
      </w:r>
      <w:r w:rsidRPr="00A7460E">
        <w:rPr>
          <w:rFonts w:ascii="Times New Roman" w:hAnsi="Times New Roman"/>
          <w:sz w:val="24"/>
          <w:szCs w:val="24"/>
        </w:rPr>
        <w:t xml:space="preserve">(u)/g(u) - </w:t>
      </w:r>
      <w:r w:rsidRPr="00A7460E">
        <w:rPr>
          <w:rFonts w:ascii="Times New Roman" w:hAnsi="Times New Roman"/>
          <w:i/>
          <w:iCs/>
          <w:sz w:val="24"/>
          <w:szCs w:val="24"/>
        </w:rPr>
        <w:t>A</w:t>
      </w:r>
      <w:r w:rsidRPr="00A7460E">
        <w:rPr>
          <w:rFonts w:ascii="Times New Roman" w:hAnsi="Times New Roman"/>
          <w:sz w:val="24"/>
          <w:szCs w:val="24"/>
        </w:rPr>
        <w:sym w:font="Symbol" w:char="F0B2"/>
      </w:r>
      <w:r w:rsidRPr="00A7460E">
        <w:rPr>
          <w:rFonts w:ascii="Times New Roman" w:hAnsi="Times New Roman"/>
          <w:sz w:val="24"/>
          <w:szCs w:val="24"/>
        </w:rPr>
        <w:t>(u)/</w:t>
      </w:r>
      <w:r w:rsidRPr="00A7460E">
        <w:rPr>
          <w:rFonts w:ascii="Times New Roman" w:hAnsi="Times New Roman"/>
          <w:i/>
          <w:iCs/>
          <w:sz w:val="24"/>
          <w:szCs w:val="24"/>
        </w:rPr>
        <w:t>A</w:t>
      </w:r>
      <w:r w:rsidRPr="00A7460E">
        <w:rPr>
          <w:rFonts w:ascii="Times New Roman" w:hAnsi="Times New Roman"/>
          <w:sz w:val="24"/>
          <w:szCs w:val="24"/>
        </w:rPr>
        <w:sym w:font="Symbol" w:char="F0A2"/>
      </w:r>
      <w:r w:rsidRPr="00A7460E">
        <w:rPr>
          <w:rFonts w:ascii="Times New Roman" w:hAnsi="Times New Roman"/>
          <w:sz w:val="24"/>
          <w:szCs w:val="24"/>
        </w:rPr>
        <w:t xml:space="preserve">(u). </w:t>
      </w:r>
      <w:r w:rsidRPr="00A7460E">
        <w:rPr>
          <w:rFonts w:ascii="Times New Roman" w:hAnsi="Times New Roman"/>
          <w:sz w:val="24"/>
          <w:szCs w:val="24"/>
          <w:lang w:val="es-ES"/>
        </w:rPr>
        <w:t xml:space="preserve">Thus, </w:t>
      </w:r>
      <w:r w:rsidRPr="00A7460E">
        <w:rPr>
          <w:rFonts w:ascii="Times New Roman" w:hAnsi="Times New Roman"/>
          <w:sz w:val="24"/>
          <w:szCs w:val="24"/>
        </w:rPr>
        <w:sym w:font="Symbol" w:char="F066"/>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 </w:t>
      </w:r>
      <w:r w:rsidRPr="00A7460E">
        <w:rPr>
          <w:rFonts w:ascii="Times New Roman" w:hAnsi="Times New Roman"/>
          <w:sz w:val="24"/>
          <w:szCs w:val="24"/>
        </w:rPr>
        <w:sym w:font="Symbol" w:char="F03C"/>
      </w:r>
      <w:r w:rsidRPr="00A7460E">
        <w:rPr>
          <w:rFonts w:ascii="Times New Roman" w:hAnsi="Times New Roman"/>
          <w:sz w:val="24"/>
          <w:szCs w:val="24"/>
          <w:lang w:val="es-ES"/>
        </w:rPr>
        <w:t xml:space="preserve"> 0 requires that </w:t>
      </w:r>
      <w:r w:rsidRPr="00A7460E">
        <w:rPr>
          <w:rFonts w:ascii="Times New Roman" w:hAnsi="Times New Roman"/>
          <w:sz w:val="24"/>
          <w:szCs w:val="24"/>
        </w:rPr>
        <w:sym w:font="Symbol" w:char="F066"/>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 = </w:t>
      </w:r>
      <w:r w:rsidRPr="00A7460E">
        <w:rPr>
          <w:rFonts w:ascii="Times New Roman" w:hAnsi="Times New Roman"/>
          <w:sz w:val="24"/>
          <w:szCs w:val="24"/>
        </w:rPr>
        <w:sym w:font="Symbol" w:char="F066"/>
      </w:r>
      <w:r w:rsidRPr="00A7460E">
        <w:rPr>
          <w:rFonts w:ascii="Times New Roman" w:hAnsi="Times New Roman"/>
          <w:sz w:val="24"/>
          <w:szCs w:val="24"/>
          <w:lang w:val="es-ES"/>
        </w:rPr>
        <w:t>(u)[g</w:t>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(u)/g(u)  - </w:t>
      </w:r>
      <w:r w:rsidRPr="00A7460E">
        <w:rPr>
          <w:rFonts w:ascii="Times New Roman" w:hAnsi="Times New Roman"/>
          <w:i/>
          <w:iCs/>
          <w:sz w:val="24"/>
          <w:szCs w:val="24"/>
          <w:lang w:val="es-ES"/>
        </w:rPr>
        <w:t>A</w:t>
      </w:r>
      <w:r w:rsidRPr="00A7460E">
        <w:rPr>
          <w:rFonts w:ascii="Times New Roman" w:hAnsi="Times New Roman"/>
          <w:sz w:val="24"/>
          <w:szCs w:val="24"/>
        </w:rPr>
        <w:sym w:font="Symbol" w:char="F0B2"/>
      </w:r>
      <w:r w:rsidRPr="00A7460E">
        <w:rPr>
          <w:rFonts w:ascii="Times New Roman" w:hAnsi="Times New Roman"/>
          <w:sz w:val="24"/>
          <w:szCs w:val="24"/>
          <w:lang w:val="es-ES"/>
        </w:rPr>
        <w:t>(u)/</w:t>
      </w:r>
      <w:r w:rsidRPr="00A7460E">
        <w:rPr>
          <w:rFonts w:ascii="Times New Roman" w:hAnsi="Times New Roman"/>
          <w:i/>
          <w:iCs/>
          <w:sz w:val="24"/>
          <w:szCs w:val="24"/>
          <w:lang w:val="es-ES"/>
        </w:rPr>
        <w:t>A</w:t>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 </w:t>
      </w:r>
      <w:r w:rsidRPr="00A7460E">
        <w:rPr>
          <w:rFonts w:ascii="Times New Roman" w:hAnsi="Times New Roman"/>
          <w:sz w:val="24"/>
          <w:szCs w:val="24"/>
        </w:rPr>
        <w:sym w:font="Symbol" w:char="F03C"/>
      </w:r>
      <w:r w:rsidRPr="00A7460E">
        <w:rPr>
          <w:rFonts w:ascii="Times New Roman" w:hAnsi="Times New Roman"/>
          <w:sz w:val="24"/>
          <w:szCs w:val="24"/>
          <w:lang w:val="es-ES"/>
        </w:rPr>
        <w:t xml:space="preserve"> 0.  </w:t>
      </w:r>
      <w:r w:rsidRPr="00A7460E">
        <w:rPr>
          <w:rFonts w:ascii="Times New Roman" w:hAnsi="Times New Roman"/>
          <w:sz w:val="24"/>
          <w:szCs w:val="24"/>
        </w:rPr>
        <w:t xml:space="preserve">By the assumptions on g(u) and </w:t>
      </w:r>
      <w:r w:rsidRPr="00A7460E">
        <w:rPr>
          <w:rFonts w:ascii="Times New Roman" w:hAnsi="Times New Roman"/>
          <w:i/>
          <w:iCs/>
          <w:sz w:val="24"/>
          <w:szCs w:val="24"/>
        </w:rPr>
        <w:t>A</w:t>
      </w:r>
      <w:r w:rsidRPr="00A7460E">
        <w:rPr>
          <w:rFonts w:ascii="Times New Roman" w:hAnsi="Times New Roman"/>
          <w:sz w:val="24"/>
          <w:szCs w:val="24"/>
        </w:rPr>
        <w:t xml:space="preserve">'(u), it follows that </w:t>
      </w:r>
      <w:r w:rsidRPr="00A7460E">
        <w:rPr>
          <w:rFonts w:ascii="Times New Roman" w:hAnsi="Times New Roman"/>
          <w:sz w:val="24"/>
          <w:szCs w:val="24"/>
        </w:rPr>
        <w:sym w:font="Symbol" w:char="F066"/>
      </w:r>
      <w:r w:rsidRPr="00A7460E">
        <w:rPr>
          <w:rFonts w:ascii="Times New Roman" w:hAnsi="Times New Roman"/>
          <w:sz w:val="24"/>
          <w:szCs w:val="24"/>
        </w:rPr>
        <w:t>(u)&gt; 0 for u &gt; 0. Hence, (A1) holds.</w:t>
      </w:r>
    </w:p>
    <w:p w:rsidR="00BB595B" w:rsidRPr="00A7460E" w:rsidRDefault="00BB595B" w:rsidP="00BB595B">
      <w:pPr>
        <w:pStyle w:val="BodyText"/>
        <w:spacing w:line="360" w:lineRule="auto"/>
        <w:rPr>
          <w:rFonts w:ascii="Times New Roman" w:hAnsi="Times New Roman"/>
          <w:sz w:val="24"/>
          <w:szCs w:val="24"/>
        </w:rPr>
      </w:pP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sz w:val="24"/>
          <w:szCs w:val="24"/>
        </w:rPr>
        <w:t xml:space="preserve">We apply these results as follows.  Given the estimated </w:t>
      </w:r>
      <w:r w:rsidRPr="00A7460E">
        <w:rPr>
          <w:rFonts w:ascii="Times New Roman" w:hAnsi="Times New Roman"/>
          <w:sz w:val="24"/>
          <w:szCs w:val="24"/>
        </w:rPr>
        <w:sym w:font="Symbol" w:char="F064"/>
      </w:r>
      <w:r w:rsidRPr="00A7460E">
        <w:rPr>
          <w:rFonts w:ascii="Times New Roman" w:hAnsi="Times New Roman"/>
          <w:sz w:val="24"/>
          <w:szCs w:val="24"/>
          <w:vertAlign w:val="subscript"/>
        </w:rPr>
        <w:t>t</w:t>
      </w:r>
      <w:r w:rsidRPr="00A7460E">
        <w:rPr>
          <w:rFonts w:ascii="Times New Roman" w:hAnsi="Times New Roman"/>
          <w:sz w:val="24"/>
          <w:szCs w:val="24"/>
        </w:rPr>
        <w:t xml:space="preserve">-values, interpreted as distances from a target at </w:t>
      </w:r>
      <w:r w:rsidRPr="00A7460E">
        <w:rPr>
          <w:rFonts w:ascii="Times New Roman" w:hAnsi="Times New Roman"/>
          <w:b/>
          <w:bCs/>
          <w:sz w:val="24"/>
          <w:szCs w:val="24"/>
        </w:rPr>
        <w:t>0</w:t>
      </w:r>
      <w:r w:rsidRPr="00A7460E">
        <w:rPr>
          <w:rFonts w:ascii="Times New Roman" w:hAnsi="Times New Roman"/>
          <w:sz w:val="24"/>
          <w:szCs w:val="24"/>
        </w:rPr>
        <w:sym w:font="Symbol" w:char="F0CE"/>
      </w:r>
      <w:r w:rsidRPr="00A7460E">
        <w:rPr>
          <w:rFonts w:ascii="Times New Roman" w:hAnsi="Times New Roman"/>
          <w:sz w:val="24"/>
          <w:szCs w:val="24"/>
        </w:rPr>
        <w:sym w:font="Symbol" w:char="F0C2"/>
      </w:r>
      <w:r w:rsidRPr="00A7460E">
        <w:rPr>
          <w:rFonts w:ascii="Times New Roman" w:hAnsi="Times New Roman"/>
          <w:sz w:val="24"/>
          <w:szCs w:val="24"/>
          <w:vertAlign w:val="superscript"/>
        </w:rPr>
        <w:sym w:font="Symbol" w:char="F06B"/>
      </w:r>
      <w:r w:rsidRPr="00A7460E">
        <w:rPr>
          <w:rFonts w:ascii="Times New Roman" w:hAnsi="Times New Roman"/>
          <w:sz w:val="24"/>
          <w:szCs w:val="24"/>
        </w:rPr>
        <w:t xml:space="preserve">, and a </w:t>
      </w:r>
      <w:r w:rsidRPr="00A7460E">
        <w:rPr>
          <w:rFonts w:ascii="Times New Roman" w:hAnsi="Times New Roman"/>
          <w:sz w:val="24"/>
          <w:szCs w:val="24"/>
        </w:rPr>
        <w:lastRenderedPageBreak/>
        <w:t>pdf, g(</w:t>
      </w:r>
      <w:r w:rsidRPr="00A7460E">
        <w:rPr>
          <w:rFonts w:ascii="Times New Roman" w:hAnsi="Times New Roman"/>
          <w:sz w:val="24"/>
          <w:szCs w:val="24"/>
        </w:rPr>
        <w:sym w:font="Symbol" w:char="F064"/>
      </w:r>
      <w:r w:rsidRPr="00A7460E">
        <w:rPr>
          <w:rFonts w:ascii="Times New Roman" w:hAnsi="Times New Roman"/>
          <w:sz w:val="24"/>
          <w:szCs w:val="24"/>
        </w:rPr>
        <w:t xml:space="preserve">), with acceptable fit to the estimated </w:t>
      </w:r>
      <w:r w:rsidRPr="00A7460E">
        <w:rPr>
          <w:rFonts w:ascii="Times New Roman" w:hAnsi="Times New Roman"/>
          <w:sz w:val="24"/>
          <w:szCs w:val="24"/>
        </w:rPr>
        <w:sym w:font="Symbol" w:char="F064"/>
      </w:r>
      <w:r w:rsidRPr="00A7460E">
        <w:rPr>
          <w:rFonts w:ascii="Times New Roman" w:hAnsi="Times New Roman"/>
          <w:sz w:val="24"/>
          <w:szCs w:val="24"/>
          <w:vertAlign w:val="subscript"/>
        </w:rPr>
        <w:t>t</w:t>
      </w:r>
      <w:r w:rsidRPr="00A7460E">
        <w:rPr>
          <w:rFonts w:ascii="Times New Roman" w:hAnsi="Times New Roman"/>
          <w:sz w:val="24"/>
          <w:szCs w:val="24"/>
        </w:rPr>
        <w:t xml:space="preserve">-values, we argue that the target at </w:t>
      </w:r>
      <w:r w:rsidRPr="00A7460E">
        <w:rPr>
          <w:rFonts w:ascii="Times New Roman" w:hAnsi="Times New Roman"/>
          <w:b/>
          <w:bCs/>
          <w:sz w:val="24"/>
          <w:szCs w:val="24"/>
        </w:rPr>
        <w:t>0</w:t>
      </w:r>
      <w:r w:rsidRPr="00A7460E">
        <w:rPr>
          <w:rFonts w:ascii="Times New Roman" w:hAnsi="Times New Roman"/>
          <w:sz w:val="24"/>
          <w:szCs w:val="24"/>
        </w:rPr>
        <w:t xml:space="preserve"> assumption is well supported if the mode of the corresponding  f(</w:t>
      </w:r>
      <w:r w:rsidRPr="00A7460E">
        <w:rPr>
          <w:rFonts w:ascii="Times New Roman" w:hAnsi="Times New Roman"/>
          <w:b/>
          <w:bCs/>
          <w:sz w:val="24"/>
          <w:szCs w:val="24"/>
        </w:rPr>
        <w:t>x</w:t>
      </w:r>
      <w:r w:rsidRPr="00A7460E">
        <w:rPr>
          <w:rFonts w:ascii="Times New Roman" w:hAnsi="Times New Roman"/>
          <w:sz w:val="24"/>
          <w:szCs w:val="24"/>
        </w:rPr>
        <w:t xml:space="preserve">) is </w:t>
      </w:r>
      <w:r w:rsidRPr="00A7460E">
        <w:rPr>
          <w:rFonts w:ascii="Times New Roman" w:hAnsi="Times New Roman"/>
          <w:b/>
          <w:bCs/>
          <w:sz w:val="24"/>
          <w:szCs w:val="24"/>
        </w:rPr>
        <w:t>0</w:t>
      </w:r>
      <w:r w:rsidRPr="00A7460E">
        <w:rPr>
          <w:rFonts w:ascii="Times New Roman" w:hAnsi="Times New Roman"/>
          <w:sz w:val="24"/>
          <w:szCs w:val="24"/>
        </w:rPr>
        <w:t xml:space="preserve">.  We call this the target-mode agreement criterion. This can be reduced to a condition on the dimension </w:t>
      </w:r>
      <w:r w:rsidRPr="00A7460E">
        <w:rPr>
          <w:rFonts w:ascii="Times New Roman" w:hAnsi="Times New Roman"/>
          <w:sz w:val="24"/>
          <w:szCs w:val="24"/>
        </w:rPr>
        <w:sym w:font="Symbol" w:char="F06B"/>
      </w:r>
      <w:r w:rsidRPr="00A7460E">
        <w:rPr>
          <w:rFonts w:ascii="Times New Roman" w:hAnsi="Times New Roman"/>
          <w:sz w:val="24"/>
          <w:szCs w:val="24"/>
        </w:rPr>
        <w:t xml:space="preserve"> and the pdf g(</w:t>
      </w:r>
      <w:r w:rsidRPr="00A7460E">
        <w:rPr>
          <w:rFonts w:ascii="Times New Roman" w:hAnsi="Times New Roman"/>
          <w:sz w:val="24"/>
          <w:szCs w:val="24"/>
        </w:rPr>
        <w:sym w:font="Symbol" w:char="F064"/>
      </w:r>
      <w:r w:rsidRPr="00A7460E">
        <w:rPr>
          <w:rFonts w:ascii="Times New Roman" w:hAnsi="Times New Roman"/>
          <w:sz w:val="24"/>
          <w:szCs w:val="24"/>
        </w:rPr>
        <w:t xml:space="preserve">) using (A1). </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sz w:val="24"/>
          <w:szCs w:val="24"/>
        </w:rPr>
        <w:t>It is convenient to use the transformation u =</w:t>
      </w:r>
      <w:r w:rsidRPr="00A7460E">
        <w:rPr>
          <w:rFonts w:ascii="Times New Roman" w:hAnsi="Times New Roman"/>
          <w:sz w:val="24"/>
          <w:szCs w:val="24"/>
        </w:rPr>
        <w:sym w:font="Symbol" w:char="F064"/>
      </w:r>
      <w:r w:rsidRPr="00A7460E">
        <w:rPr>
          <w:rFonts w:ascii="Times New Roman" w:hAnsi="Times New Roman"/>
          <w:sz w:val="24"/>
          <w:szCs w:val="24"/>
          <w:vertAlign w:val="superscript"/>
        </w:rPr>
        <w:t>2</w:t>
      </w:r>
      <w:r w:rsidRPr="00A7460E">
        <w:rPr>
          <w:rFonts w:ascii="Times New Roman" w:hAnsi="Times New Roman"/>
          <w:sz w:val="24"/>
          <w:szCs w:val="24"/>
        </w:rPr>
        <w:t>.  Let v(</w:t>
      </w:r>
      <w:r w:rsidRPr="00A7460E">
        <w:rPr>
          <w:rFonts w:ascii="Times New Roman" w:hAnsi="Times New Roman"/>
          <w:b/>
          <w:bCs/>
          <w:sz w:val="24"/>
          <w:szCs w:val="24"/>
        </w:rPr>
        <w:t>x</w:t>
      </w:r>
      <w:r w:rsidRPr="00A7460E">
        <w:rPr>
          <w:rFonts w:ascii="Times New Roman" w:hAnsi="Times New Roman"/>
          <w:sz w:val="24"/>
          <w:szCs w:val="24"/>
        </w:rPr>
        <w:t xml:space="preserve">) = </w:t>
      </w:r>
      <w:r w:rsidRPr="00A7460E">
        <w:rPr>
          <w:rFonts w:ascii="Times New Roman" w:hAnsi="Times New Roman"/>
          <w:b/>
          <w:bCs/>
          <w:sz w:val="24"/>
          <w:szCs w:val="24"/>
        </w:rPr>
        <w:t>x</w:t>
      </w:r>
      <w:r w:rsidRPr="00A7460E">
        <w:rPr>
          <w:rFonts w:ascii="Times New Roman" w:hAnsi="Times New Roman"/>
          <w:sz w:val="24"/>
          <w:szCs w:val="24"/>
        </w:rPr>
        <w:t>'</w:t>
      </w:r>
      <w:r w:rsidRPr="00A7460E">
        <w:rPr>
          <w:rFonts w:ascii="Times New Roman" w:hAnsi="Times New Roman"/>
          <w:b/>
          <w:bCs/>
          <w:sz w:val="24"/>
          <w:szCs w:val="24"/>
        </w:rPr>
        <w:t>x</w:t>
      </w:r>
      <w:r w:rsidRPr="00A7460E">
        <w:rPr>
          <w:rFonts w:ascii="Times New Roman" w:hAnsi="Times New Roman"/>
          <w:sz w:val="24"/>
          <w:szCs w:val="24"/>
        </w:rPr>
        <w:t xml:space="preserve"> .The set  {</w:t>
      </w:r>
      <w:r w:rsidRPr="00A7460E">
        <w:rPr>
          <w:rFonts w:ascii="Times New Roman" w:hAnsi="Times New Roman"/>
          <w:b/>
          <w:bCs/>
          <w:sz w:val="24"/>
          <w:szCs w:val="24"/>
        </w:rPr>
        <w:t>x</w:t>
      </w:r>
      <w:r w:rsidRPr="00A7460E">
        <w:rPr>
          <w:rFonts w:ascii="Times New Roman" w:hAnsi="Times New Roman"/>
          <w:sz w:val="24"/>
          <w:szCs w:val="24"/>
        </w:rPr>
        <w:sym w:font="Symbol" w:char="F0CE"/>
      </w:r>
      <w:r w:rsidRPr="00A7460E">
        <w:rPr>
          <w:rFonts w:ascii="Times New Roman" w:hAnsi="Times New Roman"/>
          <w:sz w:val="24"/>
          <w:szCs w:val="24"/>
        </w:rPr>
        <w:sym w:font="Symbol" w:char="F0C2"/>
      </w:r>
      <w:r w:rsidRPr="00A7460E">
        <w:rPr>
          <w:rFonts w:ascii="Times New Roman" w:hAnsi="Times New Roman"/>
          <w:sz w:val="24"/>
          <w:szCs w:val="24"/>
          <w:vertAlign w:val="superscript"/>
        </w:rPr>
        <w:sym w:font="Symbol" w:char="F06B"/>
      </w:r>
      <w:r w:rsidRPr="00A7460E">
        <w:rPr>
          <w:rFonts w:ascii="Times New Roman" w:hAnsi="Times New Roman"/>
          <w:sz w:val="24"/>
          <w:szCs w:val="24"/>
        </w:rPr>
        <w:t>: v(</w:t>
      </w:r>
      <w:r w:rsidRPr="00A7460E">
        <w:rPr>
          <w:rFonts w:ascii="Times New Roman" w:hAnsi="Times New Roman"/>
          <w:b/>
          <w:bCs/>
          <w:sz w:val="24"/>
          <w:szCs w:val="24"/>
        </w:rPr>
        <w:t>x</w:t>
      </w:r>
      <w:r w:rsidRPr="00A7460E">
        <w:rPr>
          <w:rFonts w:ascii="Times New Roman" w:hAnsi="Times New Roman"/>
          <w:sz w:val="24"/>
          <w:szCs w:val="24"/>
        </w:rPr>
        <w:t xml:space="preserve">) </w:t>
      </w:r>
      <w:r w:rsidRPr="00A7460E">
        <w:rPr>
          <w:rFonts w:ascii="Times New Roman" w:hAnsi="Times New Roman"/>
          <w:sz w:val="24"/>
          <w:szCs w:val="24"/>
        </w:rPr>
        <w:t xml:space="preserve"> </w:t>
      </w:r>
      <w:r w:rsidRPr="00A7460E">
        <w:rPr>
          <w:rFonts w:ascii="Times New Roman" w:hAnsi="Times New Roman"/>
          <w:sz w:val="24"/>
          <w:szCs w:val="24"/>
        </w:rPr>
        <w:sym w:font="Symbol" w:char="F064"/>
      </w:r>
      <w:r w:rsidRPr="00A7460E">
        <w:rPr>
          <w:rFonts w:ascii="Times New Roman" w:hAnsi="Times New Roman"/>
          <w:sz w:val="24"/>
          <w:szCs w:val="24"/>
          <w:vertAlign w:val="superscript"/>
        </w:rPr>
        <w:t>2</w:t>
      </w:r>
      <w:r w:rsidRPr="00A7460E">
        <w:rPr>
          <w:rFonts w:ascii="Times New Roman" w:hAnsi="Times New Roman"/>
          <w:sz w:val="24"/>
          <w:szCs w:val="24"/>
        </w:rPr>
        <w:t xml:space="preserve"> = u } has volume, </w:t>
      </w:r>
      <w:r w:rsidRPr="00A7460E">
        <w:rPr>
          <w:rFonts w:ascii="Times New Roman" w:hAnsi="Times New Roman"/>
          <w:i/>
          <w:iCs/>
          <w:sz w:val="24"/>
          <w:szCs w:val="24"/>
        </w:rPr>
        <w:t>A</w:t>
      </w:r>
      <w:r w:rsidRPr="00A7460E">
        <w:rPr>
          <w:rFonts w:ascii="Times New Roman" w:hAnsi="Times New Roman"/>
          <w:sz w:val="24"/>
          <w:szCs w:val="24"/>
        </w:rPr>
        <w:t>(</w:t>
      </w:r>
      <w:r w:rsidRPr="00A7460E">
        <w:rPr>
          <w:rFonts w:ascii="Times New Roman" w:hAnsi="Times New Roman"/>
          <w:sz w:val="24"/>
          <w:szCs w:val="24"/>
        </w:rPr>
        <w:sym w:font="Symbol" w:char="F064"/>
      </w:r>
      <w:r w:rsidRPr="00A7460E">
        <w:rPr>
          <w:rFonts w:ascii="Times New Roman" w:hAnsi="Times New Roman"/>
          <w:sz w:val="24"/>
          <w:szCs w:val="24"/>
          <w:vertAlign w:val="superscript"/>
        </w:rPr>
        <w:t>2</w:t>
      </w:r>
      <w:r w:rsidRPr="00A7460E">
        <w:rPr>
          <w:rFonts w:ascii="Times New Roman" w:hAnsi="Times New Roman"/>
          <w:sz w:val="24"/>
          <w:szCs w:val="24"/>
        </w:rPr>
        <w:t xml:space="preserve">) = </w:t>
      </w:r>
      <w:r w:rsidRPr="00A7460E">
        <w:rPr>
          <w:rFonts w:ascii="Times New Roman" w:hAnsi="Times New Roman"/>
          <w:i/>
          <w:iCs/>
          <w:sz w:val="24"/>
          <w:szCs w:val="24"/>
        </w:rPr>
        <w:t>A</w:t>
      </w:r>
      <w:r w:rsidRPr="00A7460E">
        <w:rPr>
          <w:rFonts w:ascii="Times New Roman" w:hAnsi="Times New Roman"/>
          <w:sz w:val="24"/>
          <w:szCs w:val="24"/>
        </w:rPr>
        <w:t>(u)</w:t>
      </w:r>
      <w:r w:rsidRPr="00A7460E">
        <w:rPr>
          <w:rFonts w:ascii="Times New Roman" w:hAnsi="Times New Roman"/>
          <w:sz w:val="24"/>
          <w:szCs w:val="24"/>
        </w:rPr>
        <w:t xml:space="preserve">,  given by   </w:t>
      </w:r>
      <w:r w:rsidRPr="00A7460E">
        <w:rPr>
          <w:rFonts w:ascii="Times New Roman" w:hAnsi="Times New Roman"/>
          <w:i/>
          <w:iCs/>
          <w:sz w:val="24"/>
          <w:szCs w:val="24"/>
        </w:rPr>
        <w:t>A</w:t>
      </w:r>
      <w:r w:rsidRPr="00A7460E">
        <w:rPr>
          <w:rFonts w:ascii="Times New Roman" w:hAnsi="Times New Roman"/>
          <w:sz w:val="24"/>
          <w:szCs w:val="24"/>
        </w:rPr>
        <w:t xml:space="preserve">(u) =   </w:t>
      </w:r>
      <w:r w:rsidRPr="00A7460E">
        <w:rPr>
          <w:rFonts w:ascii="Times New Roman" w:hAnsi="Times New Roman"/>
          <w:sz w:val="24"/>
          <w:szCs w:val="24"/>
        </w:rPr>
        <w:sym w:font="Symbol" w:char="F061"/>
      </w:r>
      <w:r w:rsidRPr="00A7460E">
        <w:rPr>
          <w:rFonts w:ascii="Times New Roman" w:hAnsi="Times New Roman"/>
          <w:sz w:val="24"/>
          <w:szCs w:val="24"/>
          <w:vertAlign w:val="subscript"/>
        </w:rPr>
        <w:sym w:font="Symbol" w:char="F06B"/>
      </w:r>
      <w:r w:rsidRPr="00A7460E">
        <w:rPr>
          <w:rFonts w:ascii="Times New Roman" w:hAnsi="Times New Roman"/>
          <w:sz w:val="24"/>
          <w:szCs w:val="24"/>
        </w:rPr>
        <w:t>u</w:t>
      </w:r>
      <w:r w:rsidRPr="00A7460E">
        <w:rPr>
          <w:rFonts w:ascii="Times New Roman" w:hAnsi="Times New Roman"/>
          <w:sz w:val="24"/>
          <w:szCs w:val="24"/>
          <w:vertAlign w:val="superscript"/>
        </w:rPr>
        <w:sym w:font="Symbol" w:char="F06B"/>
      </w:r>
      <w:r w:rsidRPr="00A7460E">
        <w:rPr>
          <w:rFonts w:ascii="Times New Roman" w:hAnsi="Times New Roman"/>
          <w:sz w:val="24"/>
          <w:szCs w:val="24"/>
          <w:vertAlign w:val="superscript"/>
        </w:rPr>
        <w:t>/2</w:t>
      </w:r>
      <w:r w:rsidRPr="00A7460E">
        <w:rPr>
          <w:rFonts w:ascii="Times New Roman" w:hAnsi="Times New Roman"/>
          <w:sz w:val="24"/>
          <w:szCs w:val="24"/>
        </w:rPr>
        <w:t xml:space="preserve">, where </w:t>
      </w:r>
      <w:r w:rsidRPr="00A7460E">
        <w:rPr>
          <w:rFonts w:ascii="Times New Roman" w:hAnsi="Times New Roman"/>
          <w:sz w:val="24"/>
          <w:szCs w:val="24"/>
        </w:rPr>
        <w:sym w:font="Symbol" w:char="F061"/>
      </w:r>
      <w:r w:rsidRPr="00A7460E">
        <w:rPr>
          <w:rFonts w:ascii="Times New Roman" w:hAnsi="Times New Roman"/>
          <w:sz w:val="24"/>
          <w:szCs w:val="24"/>
          <w:vertAlign w:val="subscript"/>
        </w:rPr>
        <w:sym w:font="Symbol" w:char="F06B"/>
      </w:r>
      <w:r w:rsidRPr="00A7460E">
        <w:rPr>
          <w:rFonts w:ascii="Times New Roman" w:hAnsi="Times New Roman"/>
          <w:sz w:val="24"/>
          <w:szCs w:val="24"/>
        </w:rPr>
        <w:t xml:space="preserve"> = </w:t>
      </w:r>
      <w:r w:rsidRPr="00A7460E">
        <w:rPr>
          <w:rFonts w:ascii="Times New Roman" w:hAnsi="Times New Roman"/>
          <w:sz w:val="24"/>
          <w:szCs w:val="24"/>
        </w:rPr>
        <w:sym w:font="Symbol" w:char="F070"/>
      </w:r>
      <w:r w:rsidRPr="00A7460E">
        <w:rPr>
          <w:rFonts w:ascii="Times New Roman" w:hAnsi="Times New Roman"/>
          <w:sz w:val="24"/>
          <w:szCs w:val="24"/>
          <w:vertAlign w:val="superscript"/>
        </w:rPr>
        <w:sym w:font="Symbol" w:char="F06B"/>
      </w:r>
      <w:r w:rsidRPr="00A7460E">
        <w:rPr>
          <w:rFonts w:ascii="Times New Roman" w:hAnsi="Times New Roman"/>
          <w:sz w:val="24"/>
          <w:szCs w:val="24"/>
          <w:vertAlign w:val="superscript"/>
        </w:rPr>
        <w:t>/ 2</w:t>
      </w:r>
      <w:r w:rsidRPr="00A7460E">
        <w:rPr>
          <w:rFonts w:ascii="Times New Roman" w:hAnsi="Times New Roman"/>
          <w:sz w:val="24"/>
          <w:szCs w:val="24"/>
        </w:rPr>
        <w:t>(</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 xml:space="preserve">2 </w:t>
      </w:r>
      <w:r w:rsidRPr="00A7460E">
        <w:rPr>
          <w:rFonts w:ascii="Times New Roman" w:hAnsi="Times New Roman"/>
          <w:sz w:val="24"/>
          <w:szCs w:val="24"/>
        </w:rPr>
        <w:sym w:font="Symbol" w:char="F047"/>
      </w:r>
      <w:r w:rsidRPr="00A7460E">
        <w:rPr>
          <w:rFonts w:ascii="Times New Roman" w:hAnsi="Times New Roman"/>
          <w:sz w:val="24"/>
          <w:szCs w:val="24"/>
        </w:rPr>
        <w:t>(</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t>))</w:t>
      </w:r>
      <w:r w:rsidRPr="00A7460E">
        <w:rPr>
          <w:rFonts w:ascii="Times New Roman" w:hAnsi="Times New Roman"/>
          <w:sz w:val="24"/>
          <w:szCs w:val="24"/>
          <w:vertAlign w:val="superscript"/>
        </w:rPr>
        <w:t xml:space="preserve"> – 1</w:t>
      </w:r>
      <w:r w:rsidRPr="00A7460E">
        <w:rPr>
          <w:rFonts w:ascii="Times New Roman" w:hAnsi="Times New Roman"/>
          <w:sz w:val="24"/>
          <w:szCs w:val="24"/>
        </w:rPr>
        <w:t xml:space="preserve">.  </w:t>
      </w:r>
      <w:r w:rsidRPr="00A7460E">
        <w:rPr>
          <w:rFonts w:ascii="Times New Roman" w:hAnsi="Times New Roman"/>
          <w:sz w:val="24"/>
          <w:szCs w:val="24"/>
          <w:lang w:val="es-ES"/>
        </w:rPr>
        <w:t>See Fleming (1977).  Therefore, A</w:t>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 = </w:t>
      </w:r>
      <w:r w:rsidRPr="00A7460E">
        <w:rPr>
          <w:rFonts w:ascii="Times New Roman" w:hAnsi="Times New Roman"/>
          <w:sz w:val="24"/>
          <w:szCs w:val="24"/>
          <w:vertAlign w:val="superscript"/>
        </w:rPr>
        <w:sym w:font="Symbol" w:char="F06B"/>
      </w:r>
      <w:r w:rsidRPr="00A7460E">
        <w:rPr>
          <w:rFonts w:ascii="Times New Roman" w:hAnsi="Times New Roman"/>
          <w:sz w:val="24"/>
          <w:szCs w:val="24"/>
          <w:lang w:val="es-ES"/>
        </w:rPr>
        <w:t>/</w:t>
      </w:r>
      <w:r w:rsidRPr="00A7460E">
        <w:rPr>
          <w:rFonts w:ascii="Times New Roman" w:hAnsi="Times New Roman"/>
          <w:sz w:val="24"/>
          <w:szCs w:val="24"/>
          <w:vertAlign w:val="subscript"/>
          <w:lang w:val="es-ES"/>
        </w:rPr>
        <w:t xml:space="preserve">2 </w:t>
      </w:r>
      <w:r w:rsidRPr="00A7460E">
        <w:rPr>
          <w:rFonts w:ascii="Times New Roman" w:hAnsi="Times New Roman"/>
          <w:sz w:val="24"/>
          <w:szCs w:val="24"/>
        </w:rPr>
        <w:sym w:font="Symbol" w:char="F061"/>
      </w:r>
      <w:r w:rsidRPr="00A7460E">
        <w:rPr>
          <w:rFonts w:ascii="Times New Roman" w:hAnsi="Times New Roman"/>
          <w:sz w:val="24"/>
          <w:szCs w:val="24"/>
          <w:vertAlign w:val="subscript"/>
          <w:lang w:val="es-ES"/>
        </w:rPr>
        <w:t>k</w:t>
      </w:r>
      <w:r w:rsidRPr="00A7460E">
        <w:rPr>
          <w:rFonts w:ascii="Times New Roman" w:hAnsi="Times New Roman"/>
          <w:sz w:val="24"/>
          <w:szCs w:val="24"/>
          <w:lang w:val="es-ES"/>
        </w:rPr>
        <w:t xml:space="preserve"> u</w:t>
      </w:r>
      <w:r w:rsidRPr="00A7460E">
        <w:rPr>
          <w:rFonts w:ascii="Times New Roman" w:hAnsi="Times New Roman"/>
          <w:sz w:val="24"/>
          <w:szCs w:val="24"/>
          <w:vertAlign w:val="superscript"/>
          <w:lang w:val="es-ES"/>
        </w:rPr>
        <w:t xml:space="preserve"> (</w:t>
      </w:r>
      <w:r w:rsidRPr="00A7460E">
        <w:rPr>
          <w:rFonts w:ascii="Times New Roman" w:hAnsi="Times New Roman"/>
          <w:sz w:val="24"/>
          <w:szCs w:val="24"/>
          <w:vertAlign w:val="superscript"/>
        </w:rPr>
        <w:sym w:font="Symbol" w:char="F06B"/>
      </w:r>
      <w:r w:rsidRPr="00A7460E">
        <w:rPr>
          <w:rFonts w:ascii="Times New Roman" w:hAnsi="Times New Roman"/>
          <w:sz w:val="24"/>
          <w:szCs w:val="24"/>
          <w:vertAlign w:val="superscript"/>
          <w:lang w:val="es-ES"/>
        </w:rPr>
        <w:t>/ 2) - 1</w:t>
      </w:r>
      <w:r w:rsidRPr="00A7460E">
        <w:rPr>
          <w:rFonts w:ascii="Times New Roman" w:hAnsi="Times New Roman"/>
          <w:sz w:val="24"/>
          <w:szCs w:val="24"/>
          <w:lang w:val="es-ES"/>
        </w:rPr>
        <w:t xml:space="preserve">, </w:t>
      </w:r>
      <w:r w:rsidRPr="00A7460E">
        <w:rPr>
          <w:rFonts w:ascii="Times New Roman" w:hAnsi="Times New Roman"/>
          <w:i/>
          <w:iCs/>
          <w:sz w:val="24"/>
          <w:szCs w:val="24"/>
          <w:lang w:val="es-ES"/>
        </w:rPr>
        <w:t>A</w:t>
      </w:r>
      <w:r w:rsidRPr="00A7460E">
        <w:rPr>
          <w:rFonts w:ascii="Times New Roman" w:hAnsi="Times New Roman"/>
          <w:sz w:val="24"/>
          <w:szCs w:val="24"/>
        </w:rPr>
        <w:sym w:font="Symbol" w:char="F0B2"/>
      </w:r>
      <w:r w:rsidRPr="00A7460E">
        <w:rPr>
          <w:rFonts w:ascii="Times New Roman" w:hAnsi="Times New Roman"/>
          <w:sz w:val="24"/>
          <w:szCs w:val="24"/>
          <w:lang w:val="es-ES"/>
        </w:rPr>
        <w:t>(u) = (</w:t>
      </w:r>
      <w:r w:rsidRPr="00A7460E">
        <w:rPr>
          <w:rFonts w:ascii="Times New Roman" w:hAnsi="Times New Roman"/>
          <w:sz w:val="24"/>
          <w:szCs w:val="24"/>
          <w:vertAlign w:val="superscript"/>
        </w:rPr>
        <w:sym w:font="Symbol" w:char="F06B"/>
      </w:r>
      <w:r w:rsidRPr="00A7460E">
        <w:rPr>
          <w:rFonts w:ascii="Times New Roman" w:hAnsi="Times New Roman"/>
          <w:sz w:val="24"/>
          <w:szCs w:val="24"/>
          <w:lang w:val="es-ES"/>
        </w:rPr>
        <w:t>/</w:t>
      </w:r>
      <w:r w:rsidRPr="00A7460E">
        <w:rPr>
          <w:rFonts w:ascii="Times New Roman" w:hAnsi="Times New Roman"/>
          <w:sz w:val="24"/>
          <w:szCs w:val="24"/>
          <w:vertAlign w:val="subscript"/>
          <w:lang w:val="es-ES"/>
        </w:rPr>
        <w:t>2</w:t>
      </w:r>
      <w:r w:rsidRPr="00A7460E">
        <w:rPr>
          <w:rFonts w:ascii="Times New Roman" w:hAnsi="Times New Roman"/>
          <w:sz w:val="24"/>
          <w:szCs w:val="24"/>
          <w:lang w:val="es-ES"/>
        </w:rPr>
        <w:t>)(</w:t>
      </w:r>
      <w:r w:rsidRPr="00A7460E">
        <w:rPr>
          <w:rFonts w:ascii="Times New Roman" w:hAnsi="Times New Roman"/>
          <w:sz w:val="24"/>
          <w:szCs w:val="24"/>
          <w:vertAlign w:val="superscript"/>
        </w:rPr>
        <w:sym w:font="Symbol" w:char="F06B"/>
      </w:r>
      <w:r w:rsidRPr="00A7460E">
        <w:rPr>
          <w:rFonts w:ascii="Times New Roman" w:hAnsi="Times New Roman"/>
          <w:sz w:val="24"/>
          <w:szCs w:val="24"/>
          <w:lang w:val="es-ES"/>
        </w:rPr>
        <w:t>/</w:t>
      </w:r>
      <w:r w:rsidRPr="00A7460E">
        <w:rPr>
          <w:rFonts w:ascii="Times New Roman" w:hAnsi="Times New Roman"/>
          <w:sz w:val="24"/>
          <w:szCs w:val="24"/>
          <w:vertAlign w:val="subscript"/>
          <w:lang w:val="es-ES"/>
        </w:rPr>
        <w:t>2</w:t>
      </w:r>
      <w:r w:rsidRPr="00A7460E">
        <w:rPr>
          <w:rFonts w:ascii="Times New Roman" w:hAnsi="Times New Roman"/>
          <w:sz w:val="24"/>
          <w:szCs w:val="24"/>
          <w:lang w:val="es-ES"/>
        </w:rPr>
        <w:t xml:space="preserve"> – 1) </w:t>
      </w:r>
      <w:r w:rsidRPr="00A7460E">
        <w:rPr>
          <w:rFonts w:ascii="Times New Roman" w:hAnsi="Times New Roman"/>
          <w:sz w:val="24"/>
          <w:szCs w:val="24"/>
        </w:rPr>
        <w:sym w:font="Symbol" w:char="F061"/>
      </w:r>
      <w:r w:rsidRPr="00A7460E">
        <w:rPr>
          <w:rFonts w:ascii="Times New Roman" w:hAnsi="Times New Roman"/>
          <w:sz w:val="24"/>
          <w:szCs w:val="24"/>
          <w:vertAlign w:val="subscript"/>
        </w:rPr>
        <w:sym w:font="Symbol" w:char="F06B"/>
      </w:r>
      <w:r w:rsidRPr="00A7460E">
        <w:rPr>
          <w:rFonts w:ascii="Times New Roman" w:hAnsi="Times New Roman"/>
          <w:sz w:val="24"/>
          <w:szCs w:val="24"/>
          <w:lang w:val="es-ES"/>
        </w:rPr>
        <w:t xml:space="preserve"> u</w:t>
      </w:r>
      <w:r w:rsidRPr="00A7460E">
        <w:rPr>
          <w:rFonts w:ascii="Times New Roman" w:hAnsi="Times New Roman"/>
          <w:sz w:val="24"/>
          <w:szCs w:val="24"/>
          <w:vertAlign w:val="superscript"/>
          <w:lang w:val="es-ES"/>
        </w:rPr>
        <w:t xml:space="preserve"> (</w:t>
      </w:r>
      <w:r w:rsidRPr="00A7460E">
        <w:rPr>
          <w:rFonts w:ascii="Times New Roman" w:hAnsi="Times New Roman"/>
          <w:sz w:val="24"/>
          <w:szCs w:val="24"/>
          <w:vertAlign w:val="superscript"/>
        </w:rPr>
        <w:sym w:font="Symbol" w:char="F06B"/>
      </w:r>
      <w:r w:rsidRPr="00A7460E">
        <w:rPr>
          <w:rFonts w:ascii="Times New Roman" w:hAnsi="Times New Roman"/>
          <w:sz w:val="24"/>
          <w:szCs w:val="24"/>
          <w:vertAlign w:val="superscript"/>
          <w:lang w:val="es-ES"/>
        </w:rPr>
        <w:t>/ 2) – 2</w:t>
      </w:r>
      <w:r w:rsidRPr="00A7460E">
        <w:rPr>
          <w:rFonts w:ascii="Times New Roman" w:hAnsi="Times New Roman"/>
          <w:sz w:val="24"/>
          <w:szCs w:val="24"/>
          <w:lang w:val="es-ES"/>
        </w:rPr>
        <w:t xml:space="preserve">   and </w:t>
      </w:r>
      <w:r w:rsidRPr="00A7460E">
        <w:rPr>
          <w:rFonts w:ascii="Times New Roman" w:hAnsi="Times New Roman"/>
          <w:i/>
          <w:iCs/>
          <w:sz w:val="24"/>
          <w:szCs w:val="24"/>
          <w:lang w:val="es-ES"/>
        </w:rPr>
        <w:t>A</w:t>
      </w:r>
      <w:r w:rsidRPr="00A7460E">
        <w:rPr>
          <w:rFonts w:ascii="Times New Roman" w:hAnsi="Times New Roman"/>
          <w:sz w:val="24"/>
          <w:szCs w:val="24"/>
        </w:rPr>
        <w:sym w:font="Symbol" w:char="F0B2"/>
      </w:r>
      <w:r w:rsidRPr="00A7460E">
        <w:rPr>
          <w:rFonts w:ascii="Times New Roman" w:hAnsi="Times New Roman"/>
          <w:sz w:val="24"/>
          <w:szCs w:val="24"/>
          <w:lang w:val="es-ES"/>
        </w:rPr>
        <w:t xml:space="preserve">(u)/ </w:t>
      </w:r>
      <w:r w:rsidRPr="00A7460E">
        <w:rPr>
          <w:rFonts w:ascii="Times New Roman" w:hAnsi="Times New Roman"/>
          <w:i/>
          <w:iCs/>
          <w:sz w:val="24"/>
          <w:szCs w:val="24"/>
          <w:lang w:val="es-ES"/>
        </w:rPr>
        <w:t>A</w:t>
      </w:r>
      <w:r w:rsidRPr="00A7460E">
        <w:rPr>
          <w:rFonts w:ascii="Times New Roman" w:hAnsi="Times New Roman"/>
          <w:sz w:val="24"/>
          <w:szCs w:val="24"/>
        </w:rPr>
        <w:sym w:font="Symbol" w:char="F0A2"/>
      </w:r>
      <w:r w:rsidRPr="00A7460E">
        <w:rPr>
          <w:rFonts w:ascii="Times New Roman" w:hAnsi="Times New Roman"/>
          <w:sz w:val="24"/>
          <w:szCs w:val="24"/>
          <w:lang w:val="es-ES"/>
        </w:rPr>
        <w:t>(u) = (</w:t>
      </w:r>
      <w:r w:rsidRPr="00A7460E">
        <w:rPr>
          <w:rFonts w:ascii="Times New Roman" w:hAnsi="Times New Roman"/>
          <w:sz w:val="24"/>
          <w:szCs w:val="24"/>
          <w:vertAlign w:val="superscript"/>
        </w:rPr>
        <w:sym w:font="Symbol" w:char="F06B"/>
      </w:r>
      <w:r w:rsidRPr="00A7460E">
        <w:rPr>
          <w:rFonts w:ascii="Times New Roman" w:hAnsi="Times New Roman"/>
          <w:sz w:val="24"/>
          <w:szCs w:val="24"/>
          <w:lang w:val="es-ES"/>
        </w:rPr>
        <w:t>/</w:t>
      </w:r>
      <w:r w:rsidRPr="00A7460E">
        <w:rPr>
          <w:rFonts w:ascii="Times New Roman" w:hAnsi="Times New Roman"/>
          <w:sz w:val="24"/>
          <w:szCs w:val="24"/>
          <w:vertAlign w:val="subscript"/>
          <w:lang w:val="es-ES"/>
        </w:rPr>
        <w:t>2</w:t>
      </w:r>
      <w:r w:rsidRPr="00A7460E">
        <w:rPr>
          <w:rFonts w:ascii="Times New Roman" w:hAnsi="Times New Roman"/>
          <w:sz w:val="24"/>
          <w:szCs w:val="24"/>
          <w:lang w:val="es-ES"/>
        </w:rPr>
        <w:t xml:space="preserve"> – 1) u</w:t>
      </w:r>
      <w:r w:rsidRPr="00A7460E">
        <w:rPr>
          <w:rFonts w:ascii="Times New Roman" w:hAnsi="Times New Roman"/>
          <w:sz w:val="24"/>
          <w:szCs w:val="24"/>
          <w:vertAlign w:val="superscript"/>
          <w:lang w:val="es-ES"/>
        </w:rPr>
        <w:t xml:space="preserve"> – 1</w:t>
      </w:r>
      <w:r w:rsidRPr="00A7460E">
        <w:rPr>
          <w:rFonts w:ascii="Times New Roman" w:hAnsi="Times New Roman"/>
          <w:sz w:val="24"/>
          <w:szCs w:val="24"/>
          <w:lang w:val="es-ES"/>
        </w:rPr>
        <w:t xml:space="preserve">. </w:t>
      </w:r>
      <w:r w:rsidRPr="00A7460E">
        <w:rPr>
          <w:rFonts w:ascii="Times New Roman" w:hAnsi="Times New Roman"/>
          <w:sz w:val="24"/>
          <w:szCs w:val="24"/>
        </w:rPr>
        <w:t xml:space="preserve">From (A1), the requirement for g(u) to meet the target-mode agreement criterion  is </w:t>
      </w:r>
    </w:p>
    <w:p w:rsidR="00BB595B" w:rsidRPr="00A7460E" w:rsidRDefault="00BB595B" w:rsidP="00BB595B">
      <w:pPr>
        <w:pStyle w:val="BodyText"/>
        <w:spacing w:line="360" w:lineRule="auto"/>
        <w:ind w:firstLine="720"/>
        <w:rPr>
          <w:rFonts w:ascii="Times New Roman" w:hAnsi="Times New Roman"/>
          <w:b/>
          <w:bCs/>
          <w:sz w:val="24"/>
          <w:szCs w:val="24"/>
          <w:lang w:val="es-ES"/>
        </w:rPr>
      </w:pPr>
      <w:r w:rsidRPr="00A7460E">
        <w:rPr>
          <w:rFonts w:ascii="Times New Roman" w:hAnsi="Times New Roman"/>
          <w:sz w:val="24"/>
          <w:szCs w:val="24"/>
        </w:rPr>
        <w:t xml:space="preserve">                                             </w:t>
      </w:r>
      <w:r w:rsidRPr="00A7460E">
        <w:rPr>
          <w:rFonts w:ascii="Times New Roman" w:hAnsi="Times New Roman"/>
          <w:sz w:val="24"/>
          <w:szCs w:val="24"/>
          <w:lang w:val="es-ES"/>
        </w:rPr>
        <w:t>g</w:t>
      </w:r>
      <w:r w:rsidRPr="00A7460E">
        <w:rPr>
          <w:rFonts w:ascii="Times New Roman" w:hAnsi="Times New Roman"/>
          <w:sz w:val="24"/>
          <w:szCs w:val="24"/>
        </w:rPr>
        <w:sym w:font="Symbol" w:char="F0A2"/>
      </w:r>
      <w:r w:rsidRPr="00A7460E">
        <w:rPr>
          <w:rFonts w:ascii="Times New Roman" w:hAnsi="Times New Roman"/>
          <w:sz w:val="24"/>
          <w:szCs w:val="24"/>
          <w:lang w:val="es-ES"/>
        </w:rPr>
        <w:t xml:space="preserve">(u)/g(u) </w:t>
      </w:r>
      <w:r w:rsidRPr="00A7460E">
        <w:rPr>
          <w:rFonts w:ascii="Times New Roman" w:hAnsi="Times New Roman"/>
          <w:sz w:val="24"/>
          <w:szCs w:val="24"/>
        </w:rPr>
        <w:sym w:font="Symbol" w:char="F03C"/>
      </w:r>
      <w:r w:rsidRPr="00A7460E">
        <w:rPr>
          <w:rFonts w:ascii="Times New Roman" w:hAnsi="Times New Roman"/>
          <w:sz w:val="24"/>
          <w:szCs w:val="24"/>
          <w:lang w:val="es-ES"/>
        </w:rPr>
        <w:t xml:space="preserve"> (</w:t>
      </w:r>
      <w:r w:rsidRPr="00A7460E">
        <w:rPr>
          <w:rFonts w:ascii="Times New Roman" w:hAnsi="Times New Roman"/>
          <w:sz w:val="24"/>
          <w:szCs w:val="24"/>
          <w:vertAlign w:val="superscript"/>
        </w:rPr>
        <w:sym w:font="Symbol" w:char="F06B"/>
      </w:r>
      <w:r w:rsidRPr="00A7460E">
        <w:rPr>
          <w:rFonts w:ascii="Times New Roman" w:hAnsi="Times New Roman"/>
          <w:sz w:val="24"/>
          <w:szCs w:val="24"/>
          <w:lang w:val="es-ES"/>
        </w:rPr>
        <w:t>/</w:t>
      </w:r>
      <w:r w:rsidRPr="00A7460E">
        <w:rPr>
          <w:rFonts w:ascii="Times New Roman" w:hAnsi="Times New Roman"/>
          <w:sz w:val="24"/>
          <w:szCs w:val="24"/>
          <w:vertAlign w:val="subscript"/>
          <w:lang w:val="es-ES"/>
        </w:rPr>
        <w:t>2</w:t>
      </w:r>
      <w:r w:rsidRPr="00A7460E">
        <w:rPr>
          <w:rFonts w:ascii="Times New Roman" w:hAnsi="Times New Roman"/>
          <w:sz w:val="24"/>
          <w:szCs w:val="24"/>
          <w:lang w:val="es-ES"/>
        </w:rPr>
        <w:t xml:space="preserve"> – 1)u</w:t>
      </w:r>
      <w:r w:rsidRPr="00A7460E">
        <w:rPr>
          <w:rFonts w:ascii="Times New Roman" w:hAnsi="Times New Roman"/>
          <w:sz w:val="24"/>
          <w:szCs w:val="24"/>
          <w:vertAlign w:val="superscript"/>
          <w:lang w:val="es-ES"/>
        </w:rPr>
        <w:t xml:space="preserve"> – 1 </w:t>
      </w:r>
      <w:r w:rsidRPr="00A7460E">
        <w:rPr>
          <w:rFonts w:ascii="Times New Roman" w:hAnsi="Times New Roman"/>
          <w:sz w:val="24"/>
          <w:szCs w:val="24"/>
          <w:lang w:val="es-ES"/>
        </w:rPr>
        <w:t>for u</w:t>
      </w:r>
      <w:r w:rsidRPr="00A7460E">
        <w:rPr>
          <w:rFonts w:ascii="Times New Roman" w:hAnsi="Times New Roman"/>
          <w:sz w:val="24"/>
          <w:szCs w:val="24"/>
        </w:rPr>
        <w:sym w:font="Symbol" w:char="F03E"/>
      </w:r>
      <w:r w:rsidRPr="00A7460E">
        <w:rPr>
          <w:rFonts w:ascii="Times New Roman" w:hAnsi="Times New Roman"/>
          <w:sz w:val="24"/>
          <w:szCs w:val="24"/>
          <w:lang w:val="es-ES"/>
        </w:rPr>
        <w:t xml:space="preserve"> 0.                                     (A2)</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b/>
          <w:bCs/>
          <w:sz w:val="24"/>
          <w:szCs w:val="24"/>
        </w:rPr>
        <w:t>Gamma pdf</w:t>
      </w:r>
      <w:r w:rsidRPr="00A7460E">
        <w:rPr>
          <w:rFonts w:ascii="Times New Roman" w:hAnsi="Times New Roman"/>
          <w:sz w:val="24"/>
          <w:szCs w:val="24"/>
        </w:rPr>
        <w:t>.  Suppose that for a given data set, the estimated u</w:t>
      </w:r>
      <w:r w:rsidRPr="00A7460E">
        <w:rPr>
          <w:rFonts w:ascii="Times New Roman" w:hAnsi="Times New Roman"/>
          <w:sz w:val="24"/>
          <w:szCs w:val="24"/>
          <w:vertAlign w:val="subscript"/>
        </w:rPr>
        <w:t>t</w:t>
      </w:r>
      <w:r w:rsidRPr="00A7460E">
        <w:rPr>
          <w:rFonts w:ascii="Times New Roman" w:hAnsi="Times New Roman"/>
          <w:sz w:val="24"/>
          <w:szCs w:val="24"/>
        </w:rPr>
        <w:t xml:space="preserve"> = </w:t>
      </w:r>
      <w:r w:rsidRPr="00A7460E">
        <w:rPr>
          <w:rFonts w:ascii="Times New Roman" w:hAnsi="Times New Roman"/>
          <w:sz w:val="24"/>
          <w:szCs w:val="24"/>
        </w:rPr>
        <w:sym w:font="Symbol" w:char="F064"/>
      </w:r>
      <w:r w:rsidRPr="00A7460E">
        <w:rPr>
          <w:rFonts w:ascii="Times New Roman" w:hAnsi="Times New Roman"/>
          <w:sz w:val="24"/>
          <w:szCs w:val="24"/>
          <w:vertAlign w:val="subscript"/>
        </w:rPr>
        <w:t>t</w:t>
      </w:r>
      <w:r w:rsidRPr="00A7460E">
        <w:rPr>
          <w:rFonts w:ascii="Times New Roman" w:hAnsi="Times New Roman"/>
          <w:sz w:val="24"/>
          <w:szCs w:val="24"/>
          <w:vertAlign w:val="superscript"/>
        </w:rPr>
        <w:t>2</w:t>
      </w:r>
      <w:r w:rsidRPr="00A7460E">
        <w:rPr>
          <w:rFonts w:ascii="Times New Roman" w:hAnsi="Times New Roman"/>
          <w:sz w:val="24"/>
          <w:szCs w:val="24"/>
        </w:rPr>
        <w:t xml:space="preserve"> fit the gamma pdf, </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sz w:val="24"/>
          <w:szCs w:val="24"/>
          <w:lang w:val="es-ES"/>
        </w:rPr>
        <w:t xml:space="preserve">g(u) = </w:t>
      </w:r>
      <w:r w:rsidRPr="00A7460E">
        <w:rPr>
          <w:rFonts w:ascii="Times New Roman" w:hAnsi="Times New Roman"/>
          <w:sz w:val="24"/>
          <w:szCs w:val="24"/>
        </w:rPr>
        <w:sym w:font="Symbol" w:char="F062"/>
      </w:r>
      <w:r w:rsidRPr="00A7460E">
        <w:rPr>
          <w:rFonts w:ascii="Times New Roman" w:hAnsi="Times New Roman"/>
          <w:sz w:val="24"/>
          <w:szCs w:val="24"/>
          <w:vertAlign w:val="superscript"/>
          <w:lang w:val="es-ES"/>
        </w:rPr>
        <w:t>-</w:t>
      </w:r>
      <w:r w:rsidRPr="00A7460E">
        <w:rPr>
          <w:rFonts w:ascii="Times New Roman" w:hAnsi="Times New Roman"/>
          <w:sz w:val="24"/>
          <w:szCs w:val="24"/>
          <w:vertAlign w:val="superscript"/>
        </w:rPr>
        <w:sym w:font="Symbol" w:char="F061"/>
      </w:r>
      <w:r w:rsidRPr="00A7460E">
        <w:rPr>
          <w:rFonts w:ascii="Times New Roman" w:hAnsi="Times New Roman"/>
          <w:sz w:val="24"/>
          <w:szCs w:val="24"/>
          <w:lang w:val="es-ES"/>
        </w:rPr>
        <w:t>[</w:t>
      </w:r>
      <w:r w:rsidRPr="00A7460E">
        <w:rPr>
          <w:rFonts w:ascii="Times New Roman" w:hAnsi="Times New Roman"/>
          <w:sz w:val="24"/>
          <w:szCs w:val="24"/>
        </w:rPr>
        <w:sym w:font="Symbol" w:char="F047"/>
      </w:r>
      <w:r w:rsidRPr="00A7460E">
        <w:rPr>
          <w:rFonts w:ascii="Times New Roman" w:hAnsi="Times New Roman"/>
          <w:sz w:val="24"/>
          <w:szCs w:val="24"/>
          <w:lang w:val="es-ES"/>
        </w:rPr>
        <w:t>(</w:t>
      </w:r>
      <w:r w:rsidRPr="00A7460E">
        <w:rPr>
          <w:rFonts w:ascii="Times New Roman" w:hAnsi="Times New Roman"/>
          <w:sz w:val="24"/>
          <w:szCs w:val="24"/>
        </w:rPr>
        <w:sym w:font="Symbol" w:char="F061"/>
      </w:r>
      <w:r w:rsidRPr="00A7460E">
        <w:rPr>
          <w:rFonts w:ascii="Times New Roman" w:hAnsi="Times New Roman"/>
          <w:sz w:val="24"/>
          <w:szCs w:val="24"/>
          <w:lang w:val="es-ES"/>
        </w:rPr>
        <w:t>)]</w:t>
      </w:r>
      <w:r w:rsidRPr="00A7460E">
        <w:rPr>
          <w:rFonts w:ascii="Times New Roman" w:hAnsi="Times New Roman"/>
          <w:sz w:val="24"/>
          <w:szCs w:val="24"/>
          <w:vertAlign w:val="superscript"/>
          <w:lang w:val="es-ES"/>
        </w:rPr>
        <w:t>-1</w:t>
      </w:r>
      <w:r w:rsidRPr="00A7460E">
        <w:rPr>
          <w:rFonts w:ascii="Times New Roman" w:hAnsi="Times New Roman"/>
          <w:sz w:val="24"/>
          <w:szCs w:val="24"/>
          <w:lang w:val="es-ES"/>
        </w:rPr>
        <w:t xml:space="preserve"> u</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lang w:val="es-ES"/>
        </w:rPr>
        <w:t>-1</w:t>
      </w:r>
      <w:r w:rsidRPr="00A7460E">
        <w:rPr>
          <w:rFonts w:ascii="Times New Roman" w:hAnsi="Times New Roman"/>
          <w:i/>
          <w:iCs/>
          <w:sz w:val="24"/>
          <w:szCs w:val="24"/>
          <w:lang w:val="es-ES"/>
        </w:rPr>
        <w:t>exp</w:t>
      </w:r>
      <w:r w:rsidRPr="00A7460E">
        <w:rPr>
          <w:rFonts w:ascii="Times New Roman" w:hAnsi="Times New Roman"/>
          <w:sz w:val="24"/>
          <w:szCs w:val="24"/>
          <w:lang w:val="es-ES"/>
        </w:rPr>
        <w:t>(-u/</w:t>
      </w:r>
      <w:r w:rsidRPr="00A7460E">
        <w:rPr>
          <w:rFonts w:ascii="Times New Roman" w:hAnsi="Times New Roman"/>
          <w:sz w:val="24"/>
          <w:szCs w:val="24"/>
        </w:rPr>
        <w:sym w:font="Symbol" w:char="F062"/>
      </w:r>
      <w:r w:rsidRPr="00A7460E">
        <w:rPr>
          <w:rFonts w:ascii="Times New Roman" w:hAnsi="Times New Roman"/>
          <w:sz w:val="24"/>
          <w:szCs w:val="24"/>
          <w:lang w:val="es-ES"/>
        </w:rPr>
        <w:t xml:space="preserve">), for particular parameter values </w:t>
      </w:r>
      <w:r w:rsidRPr="00A7460E">
        <w:rPr>
          <w:rFonts w:ascii="Times New Roman" w:hAnsi="Times New Roman"/>
          <w:sz w:val="24"/>
          <w:szCs w:val="24"/>
        </w:rPr>
        <w:sym w:font="Symbol" w:char="F061"/>
      </w:r>
      <w:r w:rsidRPr="00A7460E">
        <w:rPr>
          <w:rFonts w:ascii="Times New Roman" w:hAnsi="Times New Roman"/>
          <w:sz w:val="24"/>
          <w:szCs w:val="24"/>
          <w:vertAlign w:val="subscript"/>
        </w:rPr>
        <w:sym w:font="Symbol" w:char="F06F"/>
      </w:r>
      <w:r w:rsidRPr="00A7460E">
        <w:rPr>
          <w:rFonts w:ascii="Times New Roman" w:hAnsi="Times New Roman"/>
          <w:sz w:val="24"/>
          <w:szCs w:val="24"/>
          <w:lang w:val="es-ES"/>
        </w:rPr>
        <w:t xml:space="preserve"> and </w:t>
      </w:r>
      <w:r w:rsidRPr="00A7460E">
        <w:rPr>
          <w:rFonts w:ascii="Times New Roman" w:hAnsi="Times New Roman"/>
          <w:sz w:val="24"/>
          <w:szCs w:val="24"/>
        </w:rPr>
        <w:sym w:font="Symbol" w:char="F062"/>
      </w:r>
      <w:r w:rsidRPr="00A7460E">
        <w:rPr>
          <w:rFonts w:ascii="Times New Roman" w:hAnsi="Times New Roman"/>
          <w:sz w:val="24"/>
          <w:szCs w:val="24"/>
          <w:vertAlign w:val="subscript"/>
        </w:rPr>
        <w:sym w:font="Symbol" w:char="F06F"/>
      </w:r>
      <w:r w:rsidRPr="00A7460E">
        <w:rPr>
          <w:rFonts w:ascii="Times New Roman" w:hAnsi="Times New Roman"/>
          <w:sz w:val="24"/>
          <w:szCs w:val="24"/>
          <w:lang w:val="es-ES"/>
        </w:rPr>
        <w:t xml:space="preserve">.  </w:t>
      </w:r>
      <w:r w:rsidRPr="00A7460E">
        <w:rPr>
          <w:rFonts w:ascii="Times New Roman" w:hAnsi="Times New Roman"/>
          <w:sz w:val="24"/>
          <w:szCs w:val="24"/>
        </w:rPr>
        <w:t xml:space="preserve">See Law and Kelton (1982) for a discussion of the gamma pdf and Madansky (1988) for tests of fit. For this pdf, </w:t>
      </w:r>
    </w:p>
    <w:p w:rsidR="00BB595B" w:rsidRPr="00BB595B" w:rsidRDefault="00BB595B" w:rsidP="00BB595B">
      <w:pPr>
        <w:pStyle w:val="BodyText"/>
        <w:spacing w:line="360" w:lineRule="auto"/>
        <w:rPr>
          <w:rFonts w:ascii="Times New Roman" w:hAnsi="Times New Roman"/>
          <w:sz w:val="24"/>
          <w:szCs w:val="24"/>
        </w:rPr>
      </w:pPr>
      <w:r w:rsidRPr="00BB595B">
        <w:rPr>
          <w:rFonts w:ascii="Times New Roman" w:hAnsi="Times New Roman"/>
          <w:sz w:val="24"/>
          <w:szCs w:val="24"/>
        </w:rPr>
        <w:t>g</w:t>
      </w:r>
      <w:r w:rsidRPr="00A7460E">
        <w:rPr>
          <w:rFonts w:ascii="Times New Roman" w:hAnsi="Times New Roman"/>
          <w:sz w:val="24"/>
          <w:szCs w:val="24"/>
        </w:rPr>
        <w:sym w:font="Symbol" w:char="F0A2"/>
      </w:r>
      <w:r w:rsidRPr="00BB595B">
        <w:rPr>
          <w:rFonts w:ascii="Times New Roman" w:hAnsi="Times New Roman"/>
          <w:sz w:val="24"/>
          <w:szCs w:val="24"/>
        </w:rPr>
        <w:t>(u)/g(u) = (</w:t>
      </w:r>
      <w:r w:rsidRPr="00A7460E">
        <w:rPr>
          <w:rFonts w:ascii="Times New Roman" w:hAnsi="Times New Roman"/>
          <w:sz w:val="24"/>
          <w:szCs w:val="24"/>
        </w:rPr>
        <w:sym w:font="Symbol" w:char="F061"/>
      </w:r>
      <w:r w:rsidRPr="00BB595B">
        <w:rPr>
          <w:rFonts w:ascii="Times New Roman" w:hAnsi="Times New Roman"/>
          <w:sz w:val="24"/>
          <w:szCs w:val="24"/>
        </w:rPr>
        <w:t xml:space="preserve"> - 1) u</w:t>
      </w:r>
      <w:r w:rsidRPr="00BB595B">
        <w:rPr>
          <w:rFonts w:ascii="Times New Roman" w:hAnsi="Times New Roman"/>
          <w:sz w:val="24"/>
          <w:szCs w:val="24"/>
          <w:vertAlign w:val="superscript"/>
        </w:rPr>
        <w:t xml:space="preserve"> – 1 </w:t>
      </w:r>
      <w:r w:rsidRPr="00BB595B">
        <w:rPr>
          <w:rFonts w:ascii="Times New Roman" w:hAnsi="Times New Roman"/>
          <w:sz w:val="24"/>
          <w:szCs w:val="24"/>
        </w:rPr>
        <w:t xml:space="preserve">- </w:t>
      </w:r>
      <w:r w:rsidRPr="00A7460E">
        <w:rPr>
          <w:rFonts w:ascii="Times New Roman" w:hAnsi="Times New Roman"/>
          <w:sz w:val="24"/>
          <w:szCs w:val="24"/>
        </w:rPr>
        <w:sym w:font="Symbol" w:char="F062"/>
      </w:r>
      <w:r w:rsidRPr="00BB595B">
        <w:rPr>
          <w:rFonts w:ascii="Times New Roman" w:hAnsi="Times New Roman"/>
          <w:sz w:val="24"/>
          <w:szCs w:val="24"/>
          <w:vertAlign w:val="superscript"/>
        </w:rPr>
        <w:t xml:space="preserve"> – 1 </w:t>
      </w:r>
      <w:r w:rsidRPr="00BB595B">
        <w:rPr>
          <w:rFonts w:ascii="Times New Roman" w:hAnsi="Times New Roman"/>
          <w:sz w:val="24"/>
          <w:szCs w:val="24"/>
        </w:rPr>
        <w:t>.  Hence, (B2) requires that (</w:t>
      </w:r>
      <w:r w:rsidRPr="00A7460E">
        <w:rPr>
          <w:rFonts w:ascii="Times New Roman" w:hAnsi="Times New Roman"/>
          <w:sz w:val="24"/>
          <w:szCs w:val="24"/>
        </w:rPr>
        <w:sym w:font="Symbol" w:char="F061"/>
      </w:r>
      <w:r w:rsidRPr="00BB595B">
        <w:rPr>
          <w:rFonts w:ascii="Times New Roman" w:hAnsi="Times New Roman"/>
          <w:sz w:val="24"/>
          <w:szCs w:val="24"/>
        </w:rPr>
        <w:t xml:space="preserve"> - 1) u</w:t>
      </w:r>
      <w:r w:rsidRPr="00BB595B">
        <w:rPr>
          <w:rFonts w:ascii="Times New Roman" w:hAnsi="Times New Roman"/>
          <w:sz w:val="24"/>
          <w:szCs w:val="24"/>
          <w:vertAlign w:val="superscript"/>
        </w:rPr>
        <w:t xml:space="preserve"> – 1 </w:t>
      </w:r>
      <w:r w:rsidRPr="00BB595B">
        <w:rPr>
          <w:rFonts w:ascii="Times New Roman" w:hAnsi="Times New Roman"/>
          <w:sz w:val="24"/>
          <w:szCs w:val="24"/>
        </w:rPr>
        <w:t xml:space="preserve">– </w:t>
      </w:r>
      <w:r w:rsidRPr="00A7460E">
        <w:rPr>
          <w:rFonts w:ascii="Times New Roman" w:hAnsi="Times New Roman"/>
          <w:sz w:val="24"/>
          <w:szCs w:val="24"/>
        </w:rPr>
        <w:sym w:font="Symbol" w:char="F062"/>
      </w:r>
      <w:r w:rsidRPr="00BB595B">
        <w:rPr>
          <w:rFonts w:ascii="Times New Roman" w:hAnsi="Times New Roman"/>
          <w:sz w:val="24"/>
          <w:szCs w:val="24"/>
          <w:vertAlign w:val="superscript"/>
        </w:rPr>
        <w:t xml:space="preserve"> – 1</w:t>
      </w:r>
      <w:r w:rsidRPr="00A7460E">
        <w:rPr>
          <w:rFonts w:ascii="Times New Roman" w:hAnsi="Times New Roman"/>
          <w:sz w:val="24"/>
          <w:szCs w:val="24"/>
        </w:rPr>
        <w:sym w:font="Symbol" w:char="F03C"/>
      </w:r>
      <w:r w:rsidRPr="00BB595B">
        <w:rPr>
          <w:rFonts w:ascii="Times New Roman" w:hAnsi="Times New Roman"/>
          <w:sz w:val="24"/>
          <w:szCs w:val="24"/>
        </w:rPr>
        <w:t xml:space="preserve"> (</w:t>
      </w:r>
      <w:r w:rsidRPr="00A7460E">
        <w:rPr>
          <w:rFonts w:ascii="Times New Roman" w:hAnsi="Times New Roman"/>
          <w:sz w:val="24"/>
          <w:szCs w:val="24"/>
          <w:vertAlign w:val="superscript"/>
        </w:rPr>
        <w:sym w:font="Symbol" w:char="F06B"/>
      </w:r>
      <w:r w:rsidRPr="00BB595B">
        <w:rPr>
          <w:rFonts w:ascii="Times New Roman" w:hAnsi="Times New Roman"/>
          <w:sz w:val="24"/>
          <w:szCs w:val="24"/>
        </w:rPr>
        <w:t>/</w:t>
      </w:r>
      <w:r w:rsidRPr="00BB595B">
        <w:rPr>
          <w:rFonts w:ascii="Times New Roman" w:hAnsi="Times New Roman"/>
          <w:sz w:val="24"/>
          <w:szCs w:val="24"/>
          <w:vertAlign w:val="subscript"/>
        </w:rPr>
        <w:t>2</w:t>
      </w:r>
      <w:r w:rsidRPr="00BB595B">
        <w:rPr>
          <w:rFonts w:ascii="Times New Roman" w:hAnsi="Times New Roman"/>
          <w:sz w:val="24"/>
          <w:szCs w:val="24"/>
        </w:rPr>
        <w:t xml:space="preserve"> – 1)u</w:t>
      </w:r>
      <w:r w:rsidRPr="00BB595B">
        <w:rPr>
          <w:rFonts w:ascii="Times New Roman" w:hAnsi="Times New Roman"/>
          <w:sz w:val="24"/>
          <w:szCs w:val="24"/>
          <w:vertAlign w:val="superscript"/>
        </w:rPr>
        <w:t xml:space="preserve"> – 1 </w:t>
      </w:r>
      <w:r w:rsidRPr="00BB595B">
        <w:rPr>
          <w:rFonts w:ascii="Times New Roman" w:hAnsi="Times New Roman"/>
          <w:sz w:val="24"/>
          <w:szCs w:val="24"/>
        </w:rPr>
        <w:t>for u</w:t>
      </w:r>
      <w:r w:rsidRPr="00A7460E">
        <w:rPr>
          <w:rFonts w:ascii="Times New Roman" w:hAnsi="Times New Roman"/>
          <w:sz w:val="24"/>
          <w:szCs w:val="24"/>
        </w:rPr>
        <w:sym w:font="Symbol" w:char="F03E"/>
      </w:r>
      <w:r w:rsidRPr="00BB595B">
        <w:rPr>
          <w:rFonts w:ascii="Times New Roman" w:hAnsi="Times New Roman"/>
          <w:sz w:val="24"/>
          <w:szCs w:val="24"/>
        </w:rPr>
        <w:t xml:space="preserve"> 0</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sz w:val="24"/>
          <w:szCs w:val="24"/>
        </w:rPr>
        <w:t xml:space="preserve">which implies </w:t>
      </w:r>
      <w:r w:rsidRPr="00A7460E">
        <w:rPr>
          <w:rFonts w:ascii="Times New Roman" w:hAnsi="Times New Roman"/>
          <w:sz w:val="24"/>
          <w:szCs w:val="24"/>
        </w:rPr>
        <w:sym w:font="Symbol" w:char="F061"/>
      </w:r>
      <w:r w:rsidRPr="00A7460E">
        <w:rPr>
          <w:rFonts w:ascii="Times New Roman" w:hAnsi="Times New Roman"/>
          <w:sz w:val="24"/>
          <w:szCs w:val="24"/>
        </w:rPr>
        <w:t xml:space="preserve"> -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sym w:font="Symbol" w:char="F03C"/>
      </w:r>
      <w:r w:rsidRPr="00A7460E">
        <w:rPr>
          <w:rFonts w:ascii="Times New Roman" w:hAnsi="Times New Roman"/>
          <w:sz w:val="24"/>
          <w:szCs w:val="24"/>
        </w:rPr>
        <w:t xml:space="preserve"> u</w:t>
      </w:r>
      <w:r w:rsidRPr="00A7460E">
        <w:rPr>
          <w:rFonts w:ascii="Times New Roman" w:hAnsi="Times New Roman"/>
          <w:sz w:val="24"/>
          <w:szCs w:val="24"/>
        </w:rPr>
        <w:sym w:font="Symbol" w:char="F062"/>
      </w:r>
      <w:r w:rsidRPr="00A7460E">
        <w:rPr>
          <w:rFonts w:ascii="Times New Roman" w:hAnsi="Times New Roman"/>
          <w:sz w:val="24"/>
          <w:szCs w:val="24"/>
          <w:vertAlign w:val="superscript"/>
        </w:rPr>
        <w:t xml:space="preserve"> – 1</w:t>
      </w:r>
      <w:r w:rsidRPr="00A7460E">
        <w:rPr>
          <w:rFonts w:ascii="Times New Roman" w:hAnsi="Times New Roman"/>
          <w:sz w:val="24"/>
          <w:szCs w:val="24"/>
        </w:rPr>
        <w:t xml:space="preserve"> for u</w:t>
      </w:r>
      <w:r w:rsidRPr="00A7460E">
        <w:rPr>
          <w:rFonts w:ascii="Times New Roman" w:hAnsi="Times New Roman"/>
          <w:sz w:val="24"/>
          <w:szCs w:val="24"/>
        </w:rPr>
        <w:sym w:font="Symbol" w:char="F03E"/>
      </w:r>
      <w:r w:rsidRPr="00A7460E">
        <w:rPr>
          <w:rFonts w:ascii="Times New Roman" w:hAnsi="Times New Roman"/>
          <w:sz w:val="24"/>
          <w:szCs w:val="24"/>
        </w:rPr>
        <w:t xml:space="preserve"> 0. Since </w:t>
      </w:r>
      <w:r w:rsidRPr="00A7460E">
        <w:rPr>
          <w:rFonts w:ascii="Times New Roman" w:hAnsi="Times New Roman"/>
          <w:sz w:val="24"/>
          <w:szCs w:val="24"/>
        </w:rPr>
        <w:sym w:font="Symbol" w:char="F062"/>
      </w:r>
      <w:r w:rsidRPr="00A7460E">
        <w:rPr>
          <w:rFonts w:ascii="Times New Roman" w:hAnsi="Times New Roman"/>
          <w:sz w:val="24"/>
          <w:szCs w:val="24"/>
          <w:vertAlign w:val="superscript"/>
        </w:rPr>
        <w:t xml:space="preserve"> – 1</w:t>
      </w:r>
      <w:r w:rsidRPr="00A7460E">
        <w:rPr>
          <w:rFonts w:ascii="Times New Roman" w:hAnsi="Times New Roman"/>
          <w:sz w:val="24"/>
          <w:szCs w:val="24"/>
        </w:rPr>
        <w:sym w:font="Symbol" w:char="F03E"/>
      </w:r>
      <w:r w:rsidRPr="00A7460E">
        <w:rPr>
          <w:rFonts w:ascii="Times New Roman" w:hAnsi="Times New Roman"/>
          <w:sz w:val="24"/>
          <w:szCs w:val="24"/>
        </w:rPr>
        <w:t xml:space="preserve"> 0 then considering u arbitrarily small we must have</w:t>
      </w:r>
      <w:r w:rsidRPr="00A7460E">
        <w:rPr>
          <w:rFonts w:ascii="Times New Roman" w:hAnsi="Times New Roman"/>
          <w:sz w:val="24"/>
          <w:szCs w:val="24"/>
        </w:rPr>
        <w:sym w:font="Symbol" w:char="F061"/>
      </w:r>
      <w:r w:rsidRPr="00A7460E">
        <w:rPr>
          <w:rFonts w:ascii="Times New Roman" w:hAnsi="Times New Roman"/>
          <w:sz w:val="24"/>
          <w:szCs w:val="24"/>
        </w:rPr>
        <w:t xml:space="preserve"> -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sym w:font="Symbol" w:char="F0A3"/>
      </w:r>
      <w:r w:rsidRPr="00A7460E">
        <w:rPr>
          <w:rFonts w:ascii="Times New Roman" w:hAnsi="Times New Roman"/>
          <w:sz w:val="24"/>
          <w:szCs w:val="24"/>
        </w:rPr>
        <w:t xml:space="preserve"> 0 and thus (4) holds for the gamma pdf.</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b/>
          <w:bCs/>
          <w:sz w:val="24"/>
          <w:szCs w:val="24"/>
        </w:rPr>
        <w:t xml:space="preserve">Weibull pdf. </w:t>
      </w:r>
      <w:r w:rsidRPr="00A7460E">
        <w:rPr>
          <w:rFonts w:ascii="Times New Roman" w:hAnsi="Times New Roman"/>
          <w:bCs/>
          <w:sz w:val="24"/>
          <w:szCs w:val="24"/>
        </w:rPr>
        <w:t xml:space="preserve">For the Weibull pdf we have </w:t>
      </w:r>
      <w:r w:rsidRPr="00A7460E">
        <w:rPr>
          <w:rFonts w:ascii="Times New Roman" w:hAnsi="Times New Roman"/>
          <w:sz w:val="24"/>
          <w:szCs w:val="24"/>
        </w:rPr>
        <w:t xml:space="preserve">g(u) = </w:t>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w:t>
      </w:r>
      <w:r w:rsidRPr="00A7460E">
        <w:rPr>
          <w:rFonts w:ascii="Times New Roman" w:hAnsi="Times New Roman"/>
          <w:sz w:val="24"/>
          <w:szCs w:val="24"/>
          <w:vertAlign w:val="superscript"/>
        </w:rPr>
        <w:sym w:font="Symbol" w:char="F061"/>
      </w:r>
      <w:r w:rsidRPr="00A7460E">
        <w:rPr>
          <w:rFonts w:ascii="Times New Roman" w:hAnsi="Times New Roman"/>
          <w:sz w:val="24"/>
          <w:szCs w:val="24"/>
        </w:rPr>
        <w:t>u</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-1</w:t>
      </w:r>
      <w:r w:rsidRPr="00A7460E">
        <w:rPr>
          <w:rFonts w:ascii="Times New Roman" w:hAnsi="Times New Roman"/>
          <w:i/>
          <w:iCs/>
          <w:sz w:val="24"/>
          <w:szCs w:val="24"/>
        </w:rPr>
        <w:t>exp</w:t>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rPr>
        <w:t xml:space="preserve">]. Then  </w:t>
      </w:r>
    </w:p>
    <w:p w:rsidR="00BB595B" w:rsidRPr="00A7460E" w:rsidRDefault="00BB595B" w:rsidP="00BB595B">
      <w:pPr>
        <w:pStyle w:val="BodyText"/>
        <w:spacing w:line="360" w:lineRule="auto"/>
        <w:rPr>
          <w:rFonts w:ascii="Times New Roman" w:hAnsi="Times New Roman"/>
          <w:sz w:val="24"/>
          <w:szCs w:val="24"/>
        </w:rPr>
      </w:pPr>
      <w:r w:rsidRPr="00A7460E">
        <w:rPr>
          <w:rFonts w:ascii="Times New Roman" w:hAnsi="Times New Roman"/>
          <w:sz w:val="24"/>
          <w:szCs w:val="24"/>
        </w:rPr>
        <w:lastRenderedPageBreak/>
        <w:t>g</w:t>
      </w:r>
      <w:r w:rsidRPr="00A7460E">
        <w:rPr>
          <w:rFonts w:ascii="Times New Roman" w:hAnsi="Times New Roman"/>
          <w:sz w:val="24"/>
          <w:szCs w:val="24"/>
        </w:rPr>
        <w:sym w:font="Symbol" w:char="F0A2"/>
      </w:r>
      <w:r w:rsidRPr="00A7460E">
        <w:rPr>
          <w:rFonts w:ascii="Times New Roman" w:hAnsi="Times New Roman"/>
          <w:sz w:val="24"/>
          <w:szCs w:val="24"/>
        </w:rPr>
        <w:t xml:space="preserve">(u) = </w:t>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w:t>
      </w:r>
      <w:r w:rsidRPr="00A7460E">
        <w:rPr>
          <w:rFonts w:ascii="Times New Roman" w:hAnsi="Times New Roman"/>
          <w:sz w:val="24"/>
          <w:szCs w:val="24"/>
          <w:vertAlign w:val="superscript"/>
        </w:rPr>
        <w:sym w:font="Symbol" w:char="F061"/>
      </w:r>
      <w:r w:rsidRPr="00A7460E">
        <w:rPr>
          <w:rFonts w:ascii="Times New Roman" w:hAnsi="Times New Roman"/>
          <w:sz w:val="24"/>
          <w:szCs w:val="24"/>
        </w:rPr>
        <w:t>u</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-2</w:t>
      </w:r>
      <w:r w:rsidRPr="00A7460E">
        <w:rPr>
          <w:rFonts w:ascii="Times New Roman" w:hAnsi="Times New Roman"/>
          <w:i/>
          <w:iCs/>
          <w:sz w:val="24"/>
          <w:szCs w:val="24"/>
        </w:rPr>
        <w:t>exp</w:t>
      </w:r>
      <w:r w:rsidRPr="00A7460E">
        <w:rPr>
          <w:rFonts w:ascii="Times New Roman" w:hAnsi="Times New Roman"/>
          <w:iCs/>
          <w:sz w:val="24"/>
          <w:szCs w:val="24"/>
        </w:rPr>
        <w:t>{</w:t>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rPr>
        <w:t>}[(</w:t>
      </w:r>
      <w:r w:rsidRPr="00A7460E">
        <w:rPr>
          <w:rFonts w:ascii="Times New Roman" w:hAnsi="Times New Roman"/>
          <w:sz w:val="24"/>
          <w:szCs w:val="24"/>
        </w:rPr>
        <w:sym w:font="Symbol" w:char="F061"/>
      </w:r>
      <w:r w:rsidRPr="00A7460E">
        <w:rPr>
          <w:rFonts w:ascii="Times New Roman" w:hAnsi="Times New Roman"/>
          <w:sz w:val="24"/>
          <w:szCs w:val="24"/>
        </w:rPr>
        <w:t xml:space="preserve"> – 1) + u(– </w:t>
      </w:r>
      <w:r w:rsidRPr="00A7460E">
        <w:rPr>
          <w:rFonts w:ascii="Times New Roman" w:hAnsi="Times New Roman"/>
          <w:sz w:val="24"/>
          <w:szCs w:val="24"/>
        </w:rPr>
        <w:sym w:font="Symbol" w:char="F061"/>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–1</w:t>
      </w:r>
      <w:r w:rsidRPr="00A7460E">
        <w:rPr>
          <w:rFonts w:ascii="Times New Roman" w:hAnsi="Times New Roman"/>
          <w:sz w:val="24"/>
          <w:szCs w:val="24"/>
        </w:rPr>
        <w:sym w:font="Symbol" w:char="F062"/>
      </w:r>
      <w:r w:rsidRPr="00A7460E">
        <w:rPr>
          <w:rFonts w:ascii="Times New Roman" w:hAnsi="Times New Roman"/>
          <w:sz w:val="24"/>
          <w:szCs w:val="24"/>
          <w:vertAlign w:val="superscript"/>
        </w:rPr>
        <w:t>–1</w:t>
      </w:r>
      <w:r w:rsidRPr="00A7460E">
        <w:rPr>
          <w:rFonts w:ascii="Times New Roman" w:hAnsi="Times New Roman"/>
          <w:sz w:val="24"/>
          <w:szCs w:val="24"/>
        </w:rPr>
        <w:t>].  Therefore g</w:t>
      </w:r>
      <w:r w:rsidRPr="00A7460E">
        <w:rPr>
          <w:rFonts w:ascii="Times New Roman" w:hAnsi="Times New Roman"/>
          <w:sz w:val="24"/>
          <w:szCs w:val="24"/>
        </w:rPr>
        <w:sym w:font="Symbol" w:char="F0A2"/>
      </w:r>
      <w:r w:rsidRPr="00A7460E">
        <w:rPr>
          <w:rFonts w:ascii="Times New Roman" w:hAnsi="Times New Roman"/>
          <w:sz w:val="24"/>
          <w:szCs w:val="24"/>
        </w:rPr>
        <w:t>(u)/g(u) = u</w:t>
      </w:r>
      <w:r w:rsidRPr="00A7460E">
        <w:rPr>
          <w:rFonts w:ascii="Times New Roman" w:hAnsi="Times New Roman"/>
          <w:sz w:val="24"/>
          <w:szCs w:val="24"/>
          <w:vertAlign w:val="superscript"/>
        </w:rPr>
        <w:t>–1</w:t>
      </w:r>
      <w:r w:rsidRPr="00A7460E">
        <w:rPr>
          <w:rFonts w:ascii="Times New Roman" w:hAnsi="Times New Roman"/>
          <w:sz w:val="24"/>
          <w:szCs w:val="24"/>
        </w:rPr>
        <w:t>[(</w:t>
      </w:r>
      <w:r w:rsidRPr="00A7460E">
        <w:rPr>
          <w:rFonts w:ascii="Times New Roman" w:hAnsi="Times New Roman"/>
          <w:sz w:val="24"/>
          <w:szCs w:val="24"/>
        </w:rPr>
        <w:sym w:font="Symbol" w:char="F061"/>
      </w:r>
      <w:r w:rsidRPr="00A7460E">
        <w:rPr>
          <w:rFonts w:ascii="Times New Roman" w:hAnsi="Times New Roman"/>
          <w:sz w:val="24"/>
          <w:szCs w:val="24"/>
        </w:rPr>
        <w:t xml:space="preserve"> – 1) –  </w:t>
      </w:r>
      <w:r w:rsidRPr="00A7460E">
        <w:rPr>
          <w:rFonts w:ascii="Times New Roman" w:hAnsi="Times New Roman"/>
          <w:sz w:val="24"/>
          <w:szCs w:val="24"/>
        </w:rPr>
        <w:sym w:font="Symbol" w:char="F061"/>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–1</w:t>
      </w:r>
      <w:r w:rsidRPr="00A7460E">
        <w:rPr>
          <w:rFonts w:ascii="Times New Roman" w:hAnsi="Times New Roman"/>
          <w:sz w:val="24"/>
          <w:szCs w:val="24"/>
        </w:rPr>
        <w:sym w:font="Symbol" w:char="F062"/>
      </w:r>
      <w:r w:rsidRPr="00A7460E">
        <w:rPr>
          <w:rFonts w:ascii="Times New Roman" w:hAnsi="Times New Roman"/>
          <w:sz w:val="24"/>
          <w:szCs w:val="24"/>
          <w:vertAlign w:val="superscript"/>
        </w:rPr>
        <w:t>–1</w:t>
      </w:r>
      <w:r w:rsidRPr="00A7460E">
        <w:rPr>
          <w:rFonts w:ascii="Times New Roman" w:hAnsi="Times New Roman"/>
          <w:sz w:val="24"/>
          <w:szCs w:val="24"/>
        </w:rPr>
        <w:t>] = (</w:t>
      </w:r>
      <w:r w:rsidRPr="00A7460E">
        <w:rPr>
          <w:rFonts w:ascii="Times New Roman" w:hAnsi="Times New Roman"/>
          <w:sz w:val="24"/>
          <w:szCs w:val="24"/>
        </w:rPr>
        <w:sym w:font="Symbol" w:char="F061"/>
      </w:r>
      <w:r w:rsidRPr="00A7460E">
        <w:rPr>
          <w:rFonts w:ascii="Times New Roman" w:hAnsi="Times New Roman"/>
          <w:sz w:val="24"/>
          <w:szCs w:val="24"/>
        </w:rPr>
        <w:t xml:space="preserve"> – 1) u</w:t>
      </w:r>
      <w:r w:rsidRPr="00A7460E">
        <w:rPr>
          <w:rFonts w:ascii="Times New Roman" w:hAnsi="Times New Roman"/>
          <w:sz w:val="24"/>
          <w:szCs w:val="24"/>
          <w:vertAlign w:val="superscript"/>
        </w:rPr>
        <w:t>–1</w:t>
      </w:r>
      <w:r w:rsidRPr="00A7460E">
        <w:rPr>
          <w:rFonts w:ascii="Times New Roman" w:hAnsi="Times New Roman"/>
          <w:sz w:val="24"/>
          <w:szCs w:val="24"/>
        </w:rPr>
        <w:t xml:space="preserve"> – </w:t>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–1</w:t>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–1</w:t>
      </w:r>
      <w:r w:rsidRPr="00A7460E">
        <w:rPr>
          <w:rFonts w:ascii="Times New Roman" w:hAnsi="Times New Roman"/>
          <w:sz w:val="24"/>
          <w:szCs w:val="24"/>
        </w:rPr>
        <w:t>. Then g</w:t>
      </w:r>
      <w:r w:rsidRPr="00A7460E">
        <w:rPr>
          <w:rFonts w:ascii="Times New Roman" w:hAnsi="Times New Roman"/>
          <w:sz w:val="24"/>
          <w:szCs w:val="24"/>
        </w:rPr>
        <w:sym w:font="Symbol" w:char="F0A2"/>
      </w:r>
      <w:r w:rsidRPr="00A7460E">
        <w:rPr>
          <w:rFonts w:ascii="Times New Roman" w:hAnsi="Times New Roman"/>
          <w:sz w:val="24"/>
          <w:szCs w:val="24"/>
        </w:rPr>
        <w:t xml:space="preserve">(u)/g(u) </w:t>
      </w:r>
      <w:r w:rsidRPr="00A7460E">
        <w:rPr>
          <w:rFonts w:ascii="Times New Roman" w:hAnsi="Times New Roman"/>
          <w:sz w:val="24"/>
          <w:szCs w:val="24"/>
        </w:rPr>
        <w:sym w:font="Symbol" w:char="F03C"/>
      </w:r>
      <w:r w:rsidRPr="00A7460E">
        <w:rPr>
          <w:rFonts w:ascii="Times New Roman" w:hAnsi="Times New Roman"/>
          <w:sz w:val="24"/>
          <w:szCs w:val="24"/>
        </w:rPr>
        <w:t xml:space="preserve">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t xml:space="preserve"> – 1)u</w:t>
      </w:r>
      <w:r w:rsidRPr="00A7460E">
        <w:rPr>
          <w:rFonts w:ascii="Times New Roman" w:hAnsi="Times New Roman"/>
          <w:sz w:val="24"/>
          <w:szCs w:val="24"/>
          <w:vertAlign w:val="superscript"/>
        </w:rPr>
        <w:t xml:space="preserve"> – 1 </w:t>
      </w:r>
      <w:r w:rsidRPr="00A7460E">
        <w:rPr>
          <w:rFonts w:ascii="Times New Roman" w:hAnsi="Times New Roman"/>
          <w:sz w:val="24"/>
          <w:szCs w:val="24"/>
        </w:rPr>
        <w:t>for u</w:t>
      </w:r>
      <w:r w:rsidRPr="00A7460E">
        <w:rPr>
          <w:rFonts w:ascii="Times New Roman" w:hAnsi="Times New Roman"/>
          <w:sz w:val="24"/>
          <w:szCs w:val="24"/>
        </w:rPr>
        <w:sym w:font="Symbol" w:char="F03E"/>
      </w:r>
      <w:r w:rsidRPr="00A7460E">
        <w:rPr>
          <w:rFonts w:ascii="Times New Roman" w:hAnsi="Times New Roman"/>
          <w:sz w:val="24"/>
          <w:szCs w:val="24"/>
        </w:rPr>
        <w:t xml:space="preserve"> 0.</w:t>
      </w:r>
      <w:r w:rsidRPr="00A7460E">
        <w:rPr>
          <w:rFonts w:ascii="Times New Roman" w:hAnsi="Times New Roman"/>
          <w:bCs/>
          <w:sz w:val="24"/>
          <w:szCs w:val="24"/>
        </w:rPr>
        <w:t xml:space="preserve">    Now (A2) requires </w:t>
      </w:r>
      <w:r w:rsidRPr="00A7460E">
        <w:rPr>
          <w:rFonts w:ascii="Times New Roman" w:hAnsi="Times New Roman"/>
          <w:sz w:val="24"/>
          <w:szCs w:val="24"/>
        </w:rPr>
        <w:t>(</w:t>
      </w:r>
      <w:r w:rsidRPr="00A7460E">
        <w:rPr>
          <w:rFonts w:ascii="Times New Roman" w:hAnsi="Times New Roman"/>
          <w:sz w:val="24"/>
          <w:szCs w:val="24"/>
        </w:rPr>
        <w:sym w:font="Symbol" w:char="F061"/>
      </w:r>
      <w:r w:rsidRPr="00A7460E">
        <w:rPr>
          <w:rFonts w:ascii="Times New Roman" w:hAnsi="Times New Roman"/>
          <w:sz w:val="24"/>
          <w:szCs w:val="24"/>
        </w:rPr>
        <w:t xml:space="preserve"> – 1) u</w:t>
      </w:r>
      <w:r w:rsidRPr="00A7460E">
        <w:rPr>
          <w:rFonts w:ascii="Times New Roman" w:hAnsi="Times New Roman"/>
          <w:sz w:val="24"/>
          <w:szCs w:val="24"/>
          <w:vertAlign w:val="superscript"/>
        </w:rPr>
        <w:t>–1</w:t>
      </w:r>
      <w:r w:rsidRPr="00A7460E">
        <w:rPr>
          <w:rFonts w:ascii="Times New Roman" w:hAnsi="Times New Roman"/>
          <w:sz w:val="24"/>
          <w:szCs w:val="24"/>
        </w:rPr>
        <w:t xml:space="preserve"> – </w:t>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–1</w:t>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–1</w:t>
      </w:r>
      <w:r w:rsidRPr="00A7460E">
        <w:rPr>
          <w:rFonts w:ascii="Times New Roman" w:hAnsi="Times New Roman"/>
          <w:sz w:val="24"/>
          <w:szCs w:val="24"/>
        </w:rPr>
        <w:sym w:font="Symbol" w:char="F03C"/>
      </w:r>
      <w:r w:rsidRPr="00A7460E">
        <w:rPr>
          <w:rFonts w:ascii="Times New Roman" w:hAnsi="Times New Roman"/>
          <w:sz w:val="24"/>
          <w:szCs w:val="24"/>
        </w:rPr>
        <w:t xml:space="preserve">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t xml:space="preserve"> – 1)u</w:t>
      </w:r>
      <w:r w:rsidRPr="00A7460E">
        <w:rPr>
          <w:rFonts w:ascii="Times New Roman" w:hAnsi="Times New Roman"/>
          <w:sz w:val="24"/>
          <w:szCs w:val="24"/>
          <w:vertAlign w:val="superscript"/>
        </w:rPr>
        <w:t xml:space="preserve"> – 1 </w:t>
      </w:r>
      <w:r w:rsidRPr="00A7460E">
        <w:rPr>
          <w:rFonts w:ascii="Times New Roman" w:hAnsi="Times New Roman"/>
          <w:sz w:val="24"/>
          <w:szCs w:val="24"/>
        </w:rPr>
        <w:t>for u</w:t>
      </w:r>
      <w:r w:rsidRPr="00A7460E">
        <w:rPr>
          <w:rFonts w:ascii="Times New Roman" w:hAnsi="Times New Roman"/>
          <w:sz w:val="24"/>
          <w:szCs w:val="24"/>
        </w:rPr>
        <w:sym w:font="Symbol" w:char="F03E"/>
      </w:r>
      <w:r w:rsidRPr="00A7460E">
        <w:rPr>
          <w:rFonts w:ascii="Times New Roman" w:hAnsi="Times New Roman"/>
          <w:sz w:val="24"/>
          <w:szCs w:val="24"/>
        </w:rPr>
        <w:t xml:space="preserve"> 0 and further, </w:t>
      </w:r>
      <w:r w:rsidRPr="00A7460E">
        <w:rPr>
          <w:rFonts w:ascii="Times New Roman" w:hAnsi="Times New Roman"/>
          <w:bCs/>
          <w:sz w:val="24"/>
          <w:szCs w:val="24"/>
        </w:rPr>
        <w:t>(</w:t>
      </w:r>
      <w:r w:rsidRPr="00A7460E">
        <w:rPr>
          <w:rFonts w:ascii="Times New Roman" w:hAnsi="Times New Roman"/>
          <w:sz w:val="24"/>
          <w:szCs w:val="24"/>
        </w:rPr>
        <w:sym w:font="Symbol" w:char="F061"/>
      </w:r>
      <w:r w:rsidRPr="00A7460E">
        <w:rPr>
          <w:rFonts w:ascii="Times New Roman" w:hAnsi="Times New Roman"/>
          <w:sz w:val="24"/>
          <w:szCs w:val="24"/>
        </w:rPr>
        <w:t xml:space="preserve"> -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t>)u</w:t>
      </w:r>
      <w:r w:rsidRPr="00A7460E">
        <w:rPr>
          <w:rFonts w:ascii="Times New Roman" w:hAnsi="Times New Roman"/>
          <w:sz w:val="24"/>
          <w:szCs w:val="24"/>
          <w:vertAlign w:val="superscript"/>
        </w:rPr>
        <w:t>–1</w:t>
      </w:r>
      <w:r w:rsidRPr="00A7460E">
        <w:rPr>
          <w:rFonts w:ascii="Times New Roman" w:hAnsi="Times New Roman"/>
          <w:sz w:val="24"/>
          <w:szCs w:val="24"/>
        </w:rPr>
        <w:sym w:font="Symbol" w:char="F03C"/>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–1</w:t>
      </w:r>
      <w:r w:rsidRPr="00A7460E">
        <w:rPr>
          <w:rFonts w:ascii="Times New Roman" w:hAnsi="Times New Roman"/>
          <w:sz w:val="24"/>
          <w:szCs w:val="24"/>
        </w:rPr>
        <w:t>(u/</w:t>
      </w:r>
      <w:r w:rsidRPr="00A7460E">
        <w:rPr>
          <w:rFonts w:ascii="Times New Roman" w:hAnsi="Times New Roman"/>
          <w:sz w:val="24"/>
          <w:szCs w:val="24"/>
        </w:rPr>
        <w:sym w:font="Symbol" w:char="F062"/>
      </w:r>
      <w:r w:rsidRPr="00A7460E">
        <w:rPr>
          <w:rFonts w:ascii="Times New Roman" w:hAnsi="Times New Roman"/>
          <w:sz w:val="24"/>
          <w:szCs w:val="24"/>
        </w:rPr>
        <w:t>)</w:t>
      </w:r>
      <w:r w:rsidRPr="00A7460E">
        <w:rPr>
          <w:rFonts w:ascii="Times New Roman" w:hAnsi="Times New Roman"/>
          <w:sz w:val="24"/>
          <w:szCs w:val="24"/>
          <w:vertAlign w:val="superscript"/>
        </w:rPr>
        <w:sym w:font="Symbol" w:char="F061"/>
      </w:r>
      <w:r w:rsidRPr="00A7460E">
        <w:rPr>
          <w:rFonts w:ascii="Times New Roman" w:hAnsi="Times New Roman"/>
          <w:sz w:val="24"/>
          <w:szCs w:val="24"/>
          <w:vertAlign w:val="superscript"/>
        </w:rPr>
        <w:t>–1</w:t>
      </w:r>
      <w:r w:rsidRPr="00A7460E">
        <w:rPr>
          <w:rFonts w:ascii="Times New Roman" w:hAnsi="Times New Roman"/>
          <w:sz w:val="24"/>
          <w:szCs w:val="24"/>
        </w:rPr>
        <w:t xml:space="preserve">  for all  u</w:t>
      </w:r>
      <w:r w:rsidRPr="00A7460E">
        <w:rPr>
          <w:rFonts w:ascii="Times New Roman" w:hAnsi="Times New Roman"/>
          <w:sz w:val="24"/>
          <w:szCs w:val="24"/>
        </w:rPr>
        <w:sym w:font="Symbol" w:char="F03E"/>
      </w:r>
      <w:r w:rsidRPr="00A7460E">
        <w:rPr>
          <w:rFonts w:ascii="Times New Roman" w:hAnsi="Times New Roman"/>
          <w:sz w:val="24"/>
          <w:szCs w:val="24"/>
        </w:rPr>
        <w:t xml:space="preserve"> 0.</w:t>
      </w:r>
      <w:r w:rsidRPr="00A7460E">
        <w:rPr>
          <w:rFonts w:ascii="Times New Roman" w:hAnsi="Times New Roman"/>
          <w:bCs/>
          <w:sz w:val="24"/>
          <w:szCs w:val="24"/>
        </w:rPr>
        <w:t xml:space="preserve">    Thus </w:t>
      </w:r>
      <w:r w:rsidRPr="00A7460E">
        <w:rPr>
          <w:rFonts w:ascii="Times New Roman" w:hAnsi="Times New Roman"/>
          <w:sz w:val="24"/>
          <w:szCs w:val="24"/>
        </w:rPr>
        <w:sym w:font="Symbol" w:char="F061"/>
      </w:r>
      <w:r w:rsidRPr="00A7460E">
        <w:rPr>
          <w:rFonts w:ascii="Times New Roman" w:hAnsi="Times New Roman"/>
          <w:sz w:val="24"/>
          <w:szCs w:val="24"/>
        </w:rPr>
        <w:t xml:space="preserve"> -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sym w:font="Symbol" w:char="F03C"/>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w:t>
      </w:r>
      <w:r w:rsidRPr="00A7460E">
        <w:rPr>
          <w:rFonts w:ascii="Times New Roman" w:hAnsi="Times New Roman"/>
          <w:sz w:val="24"/>
          <w:szCs w:val="24"/>
          <w:vertAlign w:val="superscript"/>
        </w:rPr>
        <w:sym w:font="Symbol" w:char="F061"/>
      </w:r>
      <w:r w:rsidRPr="00A7460E">
        <w:rPr>
          <w:rFonts w:ascii="Times New Roman" w:hAnsi="Times New Roman"/>
          <w:sz w:val="24"/>
          <w:szCs w:val="24"/>
        </w:rPr>
        <w:t xml:space="preserve"> u</w:t>
      </w:r>
      <w:r w:rsidRPr="00A7460E">
        <w:rPr>
          <w:rFonts w:ascii="Times New Roman" w:hAnsi="Times New Roman"/>
          <w:sz w:val="24"/>
          <w:szCs w:val="24"/>
          <w:vertAlign w:val="superscript"/>
        </w:rPr>
        <w:sym w:font="Symbol" w:char="F061"/>
      </w:r>
      <w:r w:rsidRPr="00A7460E">
        <w:rPr>
          <w:rFonts w:ascii="Times New Roman" w:hAnsi="Times New Roman"/>
          <w:sz w:val="24"/>
          <w:szCs w:val="24"/>
        </w:rPr>
        <w:t xml:space="preserve">  for all u</w:t>
      </w:r>
      <w:r w:rsidRPr="00A7460E">
        <w:rPr>
          <w:rFonts w:ascii="Times New Roman" w:hAnsi="Times New Roman"/>
          <w:sz w:val="24"/>
          <w:szCs w:val="24"/>
        </w:rPr>
        <w:sym w:font="Symbol" w:char="F03E"/>
      </w:r>
      <w:r w:rsidRPr="00A7460E">
        <w:rPr>
          <w:rFonts w:ascii="Times New Roman" w:hAnsi="Times New Roman"/>
          <w:sz w:val="24"/>
          <w:szCs w:val="24"/>
        </w:rPr>
        <w:t xml:space="preserve"> 0.Since </w:t>
      </w:r>
      <w:r w:rsidRPr="00A7460E">
        <w:rPr>
          <w:rFonts w:ascii="Times New Roman" w:hAnsi="Times New Roman"/>
          <w:sz w:val="24"/>
          <w:szCs w:val="24"/>
        </w:rPr>
        <w:sym w:font="Symbol" w:char="F061"/>
      </w:r>
      <w:r w:rsidRPr="00A7460E">
        <w:rPr>
          <w:rFonts w:ascii="Times New Roman" w:hAnsi="Times New Roman"/>
          <w:sz w:val="24"/>
          <w:szCs w:val="24"/>
        </w:rPr>
        <w:sym w:font="Symbol" w:char="F062"/>
      </w:r>
      <w:r w:rsidRPr="00A7460E">
        <w:rPr>
          <w:rFonts w:ascii="Times New Roman" w:hAnsi="Times New Roman"/>
          <w:sz w:val="24"/>
          <w:szCs w:val="24"/>
          <w:vertAlign w:val="superscript"/>
        </w:rPr>
        <w:t>–</w:t>
      </w:r>
      <w:r w:rsidRPr="00A7460E">
        <w:rPr>
          <w:rFonts w:ascii="Times New Roman" w:hAnsi="Times New Roman"/>
          <w:sz w:val="24"/>
          <w:szCs w:val="24"/>
          <w:vertAlign w:val="superscript"/>
        </w:rPr>
        <w:sym w:font="Symbol" w:char="F061"/>
      </w:r>
      <w:r w:rsidRPr="00A7460E">
        <w:rPr>
          <w:rFonts w:ascii="Times New Roman" w:hAnsi="Times New Roman"/>
          <w:sz w:val="24"/>
          <w:szCs w:val="24"/>
        </w:rPr>
        <w:t xml:space="preserve"> u</w:t>
      </w:r>
      <w:r w:rsidRPr="00A7460E">
        <w:rPr>
          <w:rFonts w:ascii="Times New Roman" w:hAnsi="Times New Roman"/>
          <w:sz w:val="24"/>
          <w:szCs w:val="24"/>
          <w:vertAlign w:val="superscript"/>
        </w:rPr>
        <w:sym w:font="Symbol" w:char="F061"/>
      </w:r>
      <w:r w:rsidRPr="00A7460E">
        <w:rPr>
          <w:rFonts w:ascii="Times New Roman" w:hAnsi="Times New Roman"/>
          <w:sz w:val="24"/>
          <w:szCs w:val="24"/>
        </w:rPr>
        <w:t xml:space="preserve">can be made arbitrarily small yet positive it follows that  </w:t>
      </w:r>
      <w:r w:rsidRPr="00A7460E">
        <w:rPr>
          <w:rFonts w:ascii="Times New Roman" w:hAnsi="Times New Roman"/>
          <w:sz w:val="24"/>
          <w:szCs w:val="24"/>
        </w:rPr>
        <w:sym w:font="Symbol" w:char="F061"/>
      </w:r>
      <w:r w:rsidRPr="00A7460E">
        <w:rPr>
          <w:rFonts w:ascii="Times New Roman" w:hAnsi="Times New Roman"/>
          <w:sz w:val="24"/>
          <w:szCs w:val="24"/>
        </w:rPr>
        <w:t xml:space="preserve"> - </w:t>
      </w:r>
      <w:r w:rsidRPr="00A7460E">
        <w:rPr>
          <w:rFonts w:ascii="Times New Roman" w:hAnsi="Times New Roman"/>
          <w:sz w:val="24"/>
          <w:szCs w:val="24"/>
          <w:vertAlign w:val="superscript"/>
        </w:rPr>
        <w:sym w:font="Symbol" w:char="F06B"/>
      </w:r>
      <w:r w:rsidRPr="00A7460E">
        <w:rPr>
          <w:rFonts w:ascii="Times New Roman" w:hAnsi="Times New Roman"/>
          <w:sz w:val="24"/>
          <w:szCs w:val="24"/>
        </w:rPr>
        <w:t>/</w:t>
      </w:r>
      <w:r w:rsidRPr="00A7460E">
        <w:rPr>
          <w:rFonts w:ascii="Times New Roman" w:hAnsi="Times New Roman"/>
          <w:sz w:val="24"/>
          <w:szCs w:val="24"/>
          <w:vertAlign w:val="subscript"/>
        </w:rPr>
        <w:t>2</w:t>
      </w:r>
      <w:r w:rsidRPr="00A7460E">
        <w:rPr>
          <w:rFonts w:ascii="Times New Roman" w:hAnsi="Times New Roman"/>
          <w:sz w:val="24"/>
          <w:szCs w:val="24"/>
        </w:rPr>
        <w:sym w:font="Symbol" w:char="F0A3"/>
      </w:r>
      <w:r w:rsidRPr="00A7460E">
        <w:rPr>
          <w:rFonts w:ascii="Times New Roman" w:hAnsi="Times New Roman"/>
          <w:sz w:val="24"/>
          <w:szCs w:val="24"/>
        </w:rPr>
        <w:t xml:space="preserve"> 0 so that (4) also holds for the Weibull pdf.</w:t>
      </w:r>
    </w:p>
    <w:p w:rsidR="00BB595B" w:rsidRPr="00A7460E" w:rsidRDefault="00BB595B" w:rsidP="00BB595B">
      <w:pPr>
        <w:spacing w:line="360" w:lineRule="auto"/>
        <w:ind w:firstLine="720"/>
      </w:pPr>
    </w:p>
    <w:p w:rsidR="00BB595B" w:rsidRPr="00A7460E" w:rsidRDefault="00BB595B" w:rsidP="00BB595B">
      <w:pPr>
        <w:spacing w:line="360" w:lineRule="auto"/>
        <w:ind w:firstLine="720"/>
      </w:pPr>
    </w:p>
    <w:p w:rsidR="00BB595B" w:rsidRDefault="00BB595B" w:rsidP="00BB595B">
      <w:pPr>
        <w:spacing w:line="480" w:lineRule="exact"/>
        <w:ind w:firstLine="720"/>
      </w:pPr>
    </w:p>
    <w:p w:rsidR="00CE11BD" w:rsidRDefault="00CE11BD"/>
    <w:sectPr w:rsidR="00CE11BD">
      <w:footerReference w:type="even" r:id="rId33"/>
      <w:footerReference w:type="default" r:id="rId3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61BE" w:rsidRDefault="005D61BE">
      <w:r>
        <w:separator/>
      </w:r>
    </w:p>
  </w:endnote>
  <w:endnote w:type="continuationSeparator" w:id="0">
    <w:p w:rsidR="005D61BE" w:rsidRDefault="005D61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509E" w:rsidRDefault="006E509E" w:rsidP="00AB75A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E509E" w:rsidRDefault="006E509E" w:rsidP="00AB75A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509E" w:rsidRDefault="006E509E" w:rsidP="00AB75A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01829">
      <w:rPr>
        <w:rStyle w:val="PageNumber"/>
        <w:noProof/>
      </w:rPr>
      <w:t>1</w:t>
    </w:r>
    <w:r>
      <w:rPr>
        <w:rStyle w:val="PageNumber"/>
      </w:rPr>
      <w:fldChar w:fldCharType="end"/>
    </w:r>
  </w:p>
  <w:p w:rsidR="006E509E" w:rsidRDefault="006E509E" w:rsidP="00AB75AA">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509E" w:rsidRDefault="006E509E" w:rsidP="00AA63A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E509E" w:rsidRDefault="006E509E" w:rsidP="00F86321">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509E" w:rsidRDefault="006E509E" w:rsidP="00AA63A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01829">
      <w:rPr>
        <w:rStyle w:val="PageNumber"/>
        <w:noProof/>
      </w:rPr>
      <w:t>35</w:t>
    </w:r>
    <w:r>
      <w:rPr>
        <w:rStyle w:val="PageNumber"/>
      </w:rPr>
      <w:fldChar w:fldCharType="end"/>
    </w:r>
  </w:p>
  <w:p w:rsidR="006E509E" w:rsidRDefault="006E509E" w:rsidP="00F8632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61BE" w:rsidRDefault="005D61BE">
      <w:r>
        <w:separator/>
      </w:r>
    </w:p>
  </w:footnote>
  <w:footnote w:type="continuationSeparator" w:id="0">
    <w:p w:rsidR="005D61BE" w:rsidRDefault="005D61BE">
      <w:r>
        <w:continuationSeparator/>
      </w:r>
    </w:p>
  </w:footnote>
  <w:footnote w:id="1">
    <w:p w:rsidR="006E509E" w:rsidRPr="005D38EB" w:rsidRDefault="006E509E" w:rsidP="00BB595B">
      <w:pPr>
        <w:pStyle w:val="FootnoteText"/>
      </w:pPr>
      <w:r>
        <w:rPr>
          <w:rStyle w:val="FootnoteReference"/>
        </w:rPr>
        <w:footnoteRef/>
      </w:r>
      <w:r>
        <w:t xml:space="preserve"> </w:t>
      </w:r>
      <w:r w:rsidRPr="003E5A3A">
        <w:t>A dart-throwing description might also be used. However, TMA usage</w:t>
      </w:r>
      <w:r>
        <w:t xml:space="preserve"> </w:t>
      </w:r>
      <w:r w:rsidRPr="003E5A3A">
        <w:t>differs from the ordinary usage of the term “dart throwing” to connote</w:t>
      </w:r>
      <w:r>
        <w:t xml:space="preserve"> </w:t>
      </w:r>
      <w:r w:rsidRPr="003E5A3A">
        <w:t>careless decision making.</w:t>
      </w:r>
    </w:p>
  </w:footnote>
  <w:footnote w:id="2">
    <w:p w:rsidR="006E509E" w:rsidRDefault="006E509E" w:rsidP="00BB595B">
      <w:pPr>
        <w:pStyle w:val="FootnoteText"/>
      </w:pPr>
      <w:r>
        <w:rPr>
          <w:rStyle w:val="FootnoteReference"/>
        </w:rPr>
        <w:footnoteRef/>
      </w:r>
      <w:r>
        <w:t xml:space="preserve"> Generally, the choice of inputs and outputs should be dictated by the theory one attempts to test. For illustrative purposes our choice of variables is limited to what has previously been used in the efficiency estimation literature. The technique itself allows for multiple inputs and outputs.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1CD21E7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1304"/>
  <w:hyphenationZone w:val="425"/>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E11BD"/>
    <w:rsid w:val="000300E4"/>
    <w:rsid w:val="0004265F"/>
    <w:rsid w:val="0004587C"/>
    <w:rsid w:val="00065F84"/>
    <w:rsid w:val="000B1468"/>
    <w:rsid w:val="000B5567"/>
    <w:rsid w:val="000F03A3"/>
    <w:rsid w:val="001165E0"/>
    <w:rsid w:val="00130C14"/>
    <w:rsid w:val="001B3B9E"/>
    <w:rsid w:val="001B6188"/>
    <w:rsid w:val="001D4FE1"/>
    <w:rsid w:val="001E26B1"/>
    <w:rsid w:val="001E7E59"/>
    <w:rsid w:val="00262546"/>
    <w:rsid w:val="00296287"/>
    <w:rsid w:val="002F5BA1"/>
    <w:rsid w:val="0031421E"/>
    <w:rsid w:val="00336FC7"/>
    <w:rsid w:val="00394BF8"/>
    <w:rsid w:val="00401AC1"/>
    <w:rsid w:val="004121E5"/>
    <w:rsid w:val="0045309F"/>
    <w:rsid w:val="004761DE"/>
    <w:rsid w:val="0047767A"/>
    <w:rsid w:val="00506C86"/>
    <w:rsid w:val="00522DA2"/>
    <w:rsid w:val="005303C9"/>
    <w:rsid w:val="005C5D36"/>
    <w:rsid w:val="005D61BE"/>
    <w:rsid w:val="006125F3"/>
    <w:rsid w:val="00614DE2"/>
    <w:rsid w:val="0065184B"/>
    <w:rsid w:val="00652E7C"/>
    <w:rsid w:val="006710C7"/>
    <w:rsid w:val="00693F5D"/>
    <w:rsid w:val="006945F2"/>
    <w:rsid w:val="006B5EDB"/>
    <w:rsid w:val="006D1D8A"/>
    <w:rsid w:val="006E1D3E"/>
    <w:rsid w:val="006E509E"/>
    <w:rsid w:val="00701829"/>
    <w:rsid w:val="00766F23"/>
    <w:rsid w:val="00823BC3"/>
    <w:rsid w:val="00830E9A"/>
    <w:rsid w:val="00837CBD"/>
    <w:rsid w:val="008E460D"/>
    <w:rsid w:val="008F10AA"/>
    <w:rsid w:val="00967095"/>
    <w:rsid w:val="00981D48"/>
    <w:rsid w:val="009A3450"/>
    <w:rsid w:val="009C7A11"/>
    <w:rsid w:val="009E275D"/>
    <w:rsid w:val="00A01024"/>
    <w:rsid w:val="00AA63AC"/>
    <w:rsid w:val="00AB75AA"/>
    <w:rsid w:val="00AE159A"/>
    <w:rsid w:val="00B1349C"/>
    <w:rsid w:val="00B50DF3"/>
    <w:rsid w:val="00BB595B"/>
    <w:rsid w:val="00C1455A"/>
    <w:rsid w:val="00C158AA"/>
    <w:rsid w:val="00C22FAA"/>
    <w:rsid w:val="00C46602"/>
    <w:rsid w:val="00C62322"/>
    <w:rsid w:val="00C62ED3"/>
    <w:rsid w:val="00C769E5"/>
    <w:rsid w:val="00C92CF1"/>
    <w:rsid w:val="00CC20F7"/>
    <w:rsid w:val="00CD41B2"/>
    <w:rsid w:val="00CE11BD"/>
    <w:rsid w:val="00D55E7F"/>
    <w:rsid w:val="00D73682"/>
    <w:rsid w:val="00D84AE3"/>
    <w:rsid w:val="00DA4926"/>
    <w:rsid w:val="00DD347A"/>
    <w:rsid w:val="00DE27EC"/>
    <w:rsid w:val="00DF1919"/>
    <w:rsid w:val="00E62ED3"/>
    <w:rsid w:val="00E84562"/>
    <w:rsid w:val="00E91FC3"/>
    <w:rsid w:val="00EA28AC"/>
    <w:rsid w:val="00EB63B0"/>
    <w:rsid w:val="00ED5E88"/>
    <w:rsid w:val="00EE1672"/>
    <w:rsid w:val="00F32B99"/>
    <w:rsid w:val="00F43A3C"/>
    <w:rsid w:val="00F6540A"/>
    <w:rsid w:val="00F674E9"/>
    <w:rsid w:val="00F80A05"/>
    <w:rsid w:val="00F8324A"/>
    <w:rsid w:val="00F86321"/>
    <w:rsid w:val="00FF1084"/>
  </w:rsids>
  <m:mathPr>
    <m:mathFont m:val="Cambria Math"/>
    <m:brkBin m:val="before"/>
    <m:brkBinSub m:val="--"/>
    <m:smallFrac m:val="0"/>
    <m:dispDef/>
    <m:lMargin m:val="0"/>
    <m:rMargin m:val="0"/>
    <m:defJc m:val="centerGroup"/>
    <m:wrapIndent m:val="1440"/>
    <m:intLim m:val="subSup"/>
    <m:naryLim m:val="undOvr"/>
  </m:mathPr>
  <w:themeFontLang w:val="sv-F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53471174"/>
  <w14:defaultImageDpi w14:val="300"/>
  <w15:chartTrackingRefBased/>
  <w15:docId w15:val="{68896434-8650-48F9-A44E-028FEC5A2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sv-FI" w:eastAsia="sv-F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11BD"/>
    <w:rPr>
      <w:rFonts w:eastAsia="Times New Roman"/>
      <w:sz w:val="24"/>
      <w:szCs w:val="24"/>
      <w:lang w:val="en-US" w:eastAsia="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rsid w:val="00F86321"/>
    <w:pPr>
      <w:tabs>
        <w:tab w:val="center" w:pos="4536"/>
        <w:tab w:val="right" w:pos="9072"/>
      </w:tabs>
    </w:pPr>
  </w:style>
  <w:style w:type="character" w:styleId="PageNumber">
    <w:name w:val="page number"/>
    <w:basedOn w:val="DefaultParagraphFont"/>
    <w:rsid w:val="00F86321"/>
  </w:style>
  <w:style w:type="paragraph" w:styleId="CommentText">
    <w:name w:val="annotation text"/>
    <w:basedOn w:val="Normal"/>
    <w:link w:val="CommentTextChar"/>
    <w:rsid w:val="00BB595B"/>
    <w:rPr>
      <w:sz w:val="20"/>
      <w:szCs w:val="20"/>
    </w:rPr>
  </w:style>
  <w:style w:type="character" w:customStyle="1" w:styleId="CommentTextChar">
    <w:name w:val="Comment Text Char"/>
    <w:link w:val="CommentText"/>
    <w:rsid w:val="00BB595B"/>
    <w:rPr>
      <w:lang w:val="en-US" w:eastAsia="en-US" w:bidi="ar-SA"/>
    </w:rPr>
  </w:style>
  <w:style w:type="paragraph" w:styleId="CommentSubject">
    <w:name w:val="annotation subject"/>
    <w:basedOn w:val="CommentText"/>
    <w:next w:val="CommentText"/>
    <w:link w:val="CommentSubjectChar"/>
    <w:rsid w:val="00BB595B"/>
    <w:rPr>
      <w:b/>
      <w:bCs/>
    </w:rPr>
  </w:style>
  <w:style w:type="character" w:customStyle="1" w:styleId="CommentSubjectChar">
    <w:name w:val="Comment Subject Char"/>
    <w:link w:val="CommentSubject"/>
    <w:rsid w:val="00BB595B"/>
    <w:rPr>
      <w:b/>
      <w:bCs/>
      <w:lang w:val="en-US" w:eastAsia="en-US" w:bidi="ar-SA"/>
    </w:rPr>
  </w:style>
  <w:style w:type="paragraph" w:styleId="BodyText">
    <w:name w:val="Body Text"/>
    <w:basedOn w:val="Normal"/>
    <w:link w:val="BodyTextChar"/>
    <w:semiHidden/>
    <w:rsid w:val="00BB595B"/>
    <w:pPr>
      <w:spacing w:after="120" w:line="276" w:lineRule="auto"/>
    </w:pPr>
    <w:rPr>
      <w:rFonts w:ascii="Calibri" w:hAnsi="Calibri"/>
      <w:sz w:val="22"/>
      <w:szCs w:val="22"/>
    </w:rPr>
  </w:style>
  <w:style w:type="character" w:customStyle="1" w:styleId="BodyTextChar">
    <w:name w:val="Body Text Char"/>
    <w:link w:val="BodyText"/>
    <w:semiHidden/>
    <w:locked/>
    <w:rsid w:val="00BB595B"/>
    <w:rPr>
      <w:rFonts w:ascii="Calibri" w:hAnsi="Calibri"/>
      <w:sz w:val="22"/>
      <w:szCs w:val="22"/>
      <w:lang w:val="en-US" w:eastAsia="en-US" w:bidi="ar-SA"/>
    </w:rPr>
  </w:style>
  <w:style w:type="character" w:styleId="FootnoteReference">
    <w:name w:val="footnote reference"/>
    <w:semiHidden/>
    <w:rsid w:val="00BB595B"/>
    <w:rPr>
      <w:vertAlign w:val="superscript"/>
    </w:rPr>
  </w:style>
  <w:style w:type="character" w:styleId="Strong">
    <w:name w:val="Strong"/>
    <w:qFormat/>
    <w:rsid w:val="00BB595B"/>
    <w:rPr>
      <w:rFonts w:cs="Times New Roman"/>
      <w:b/>
      <w:bCs/>
    </w:rPr>
  </w:style>
  <w:style w:type="character" w:styleId="Hyperlink">
    <w:name w:val="Hyperlink"/>
    <w:uiPriority w:val="99"/>
    <w:rsid w:val="00BB595B"/>
    <w:rPr>
      <w:color w:val="0000FF"/>
      <w:u w:val="single"/>
    </w:rPr>
  </w:style>
  <w:style w:type="paragraph" w:styleId="FootnoteText">
    <w:name w:val="footnote text"/>
    <w:basedOn w:val="Normal"/>
    <w:semiHidden/>
    <w:rsid w:val="00BB595B"/>
    <w:rPr>
      <w:sz w:val="20"/>
      <w:szCs w:val="20"/>
    </w:rPr>
  </w:style>
  <w:style w:type="paragraph" w:styleId="BalloonText">
    <w:name w:val="Balloon Text"/>
    <w:basedOn w:val="Normal"/>
    <w:link w:val="BalloonTextChar"/>
    <w:rsid w:val="00AE159A"/>
    <w:rPr>
      <w:rFonts w:ascii="Tahoma" w:hAnsi="Tahoma" w:cs="Tahoma"/>
      <w:sz w:val="16"/>
      <w:szCs w:val="16"/>
    </w:rPr>
  </w:style>
  <w:style w:type="character" w:customStyle="1" w:styleId="BalloonTextChar">
    <w:name w:val="Balloon Text Char"/>
    <w:link w:val="BalloonText"/>
    <w:rsid w:val="00AE159A"/>
    <w:rPr>
      <w:rFonts w:ascii="Tahoma" w:eastAsia="Times New Roman" w:hAnsi="Tahoma" w:cs="Tahoma"/>
      <w:sz w:val="16"/>
      <w:szCs w:val="16"/>
      <w:lang w:val="en-US" w:eastAsia="en-US"/>
    </w:rPr>
  </w:style>
  <w:style w:type="paragraph" w:customStyle="1" w:styleId="quotepara">
    <w:name w:val="quotepara"/>
    <w:basedOn w:val="Normal"/>
    <w:rsid w:val="00701829"/>
    <w:pPr>
      <w:spacing w:before="100" w:beforeAutospacing="1" w:after="100" w:afterAutospacing="1"/>
    </w:pPr>
    <w:rPr>
      <w:lang w:val="sv-FI" w:eastAsia="sv-FI"/>
    </w:rPr>
  </w:style>
  <w:style w:type="character" w:styleId="Emphasis">
    <w:name w:val="Emphasis"/>
    <w:uiPriority w:val="20"/>
    <w:qFormat/>
    <w:rsid w:val="0070182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630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doi.org/10.1093/icc/dtw058" TargetMode="External"/><Relationship Id="rId13" Type="http://schemas.openxmlformats.org/officeDocument/2006/relationships/oleObject" Target="embeddings/oleObject1.bin"/><Relationship Id="rId18" Type="http://schemas.openxmlformats.org/officeDocument/2006/relationships/image" Target="media/image4.png"/><Relationship Id="rId26" Type="http://schemas.openxmlformats.org/officeDocument/2006/relationships/hyperlink" Target="http://www.statcan.gc.ca/subjects-sujets/standard-norme/naics-scian/2007/introduction-eng.htm" TargetMode="External"/><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oleObject" Target="embeddings/oleObject3.bin"/><Relationship Id="rId25" Type="http://schemas.openxmlformats.org/officeDocument/2006/relationships/hyperlink" Target="http://www.gm.com/corporate/responsibility/reports/08/400_products/4-6-1.jsp" TargetMode="External"/><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oleObject" Target="embeddings/oleObject4.bin"/><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troutt@kent.edu" TargetMode="External"/><Relationship Id="rId24" Type="http://schemas.openxmlformats.org/officeDocument/2006/relationships/oleObject" Target="embeddings/oleObject6.bin"/><Relationship Id="rId32" Type="http://schemas.openxmlformats.org/officeDocument/2006/relationships/oleObject" Target="embeddings/oleObject7.bin"/><Relationship Id="rId5"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image" Target="media/image7.emf"/><Relationship Id="rId28" Type="http://schemas.openxmlformats.org/officeDocument/2006/relationships/footer" Target="footer2.xml"/><Relationship Id="rId36" Type="http://schemas.openxmlformats.org/officeDocument/2006/relationships/theme" Target="theme/theme1.xml"/><Relationship Id="rId10" Type="http://schemas.openxmlformats.org/officeDocument/2006/relationships/hyperlink" Target="mailto:joakim.wincent@hanken.fi" TargetMode="External"/><Relationship Id="rId19" Type="http://schemas.openxmlformats.org/officeDocument/2006/relationships/image" Target="media/image5.emf"/><Relationship Id="rId31"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hyperlink" Target="mailto:sanokhin@kent.edu" TargetMode="External"/><Relationship Id="rId14" Type="http://schemas.openxmlformats.org/officeDocument/2006/relationships/image" Target="media/image2.emf"/><Relationship Id="rId22" Type="http://schemas.openxmlformats.org/officeDocument/2006/relationships/oleObject" Target="embeddings/oleObject5.bin"/><Relationship Id="rId27" Type="http://schemas.openxmlformats.org/officeDocument/2006/relationships/footer" Target="footer1.xml"/><Relationship Id="rId30" Type="http://schemas.openxmlformats.org/officeDocument/2006/relationships/image" Target="media/image9.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0EA6ED-24E7-4039-9917-4B1E258D4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35</Pages>
  <Words>10607</Words>
  <Characters>56220</Characters>
  <Application>Microsoft Office Word</Application>
  <DocSecurity>4</DocSecurity>
  <Lines>468</Lines>
  <Paragraphs>133</Paragraphs>
  <ScaleCrop>false</ScaleCrop>
  <HeadingPairs>
    <vt:vector size="2" baseType="variant">
      <vt:variant>
        <vt:lpstr>Title</vt:lpstr>
      </vt:variant>
      <vt:variant>
        <vt:i4>1</vt:i4>
      </vt:variant>
    </vt:vector>
  </HeadingPairs>
  <TitlesOfParts>
    <vt:vector size="1" baseType="lpstr">
      <vt:lpstr>Measuring technological arbitrage opportunities:</vt:lpstr>
    </vt:vector>
  </TitlesOfParts>
  <Company>LTU</Company>
  <LinksUpToDate>false</LinksUpToDate>
  <CharactersWithSpaces>66694</CharactersWithSpaces>
  <SharedDoc>false</SharedDoc>
  <HLinks>
    <vt:vector size="30" baseType="variant">
      <vt:variant>
        <vt:i4>5636160</vt:i4>
      </vt:variant>
      <vt:variant>
        <vt:i4>39</vt:i4>
      </vt:variant>
      <vt:variant>
        <vt:i4>0</vt:i4>
      </vt:variant>
      <vt:variant>
        <vt:i4>5</vt:i4>
      </vt:variant>
      <vt:variant>
        <vt:lpwstr>http://www.statcan.gc.ca/subjects-sujets/standard-norme/naics-scian/2007/introduction-eng.htm</vt:lpwstr>
      </vt:variant>
      <vt:variant>
        <vt:lpwstr/>
      </vt:variant>
      <vt:variant>
        <vt:i4>2293760</vt:i4>
      </vt:variant>
      <vt:variant>
        <vt:i4>36</vt:i4>
      </vt:variant>
      <vt:variant>
        <vt:i4>0</vt:i4>
      </vt:variant>
      <vt:variant>
        <vt:i4>5</vt:i4>
      </vt:variant>
      <vt:variant>
        <vt:lpwstr>http://www.gm.com/corporate/responsibility/reports/08/400_products/4-6-1.jsp</vt:lpwstr>
      </vt:variant>
      <vt:variant>
        <vt:lpwstr/>
      </vt:variant>
      <vt:variant>
        <vt:i4>3342353</vt:i4>
      </vt:variant>
      <vt:variant>
        <vt:i4>6</vt:i4>
      </vt:variant>
      <vt:variant>
        <vt:i4>0</vt:i4>
      </vt:variant>
      <vt:variant>
        <vt:i4>5</vt:i4>
      </vt:variant>
      <vt:variant>
        <vt:lpwstr>mailto:mtroutt@kent.edu</vt:lpwstr>
      </vt:variant>
      <vt:variant>
        <vt:lpwstr/>
      </vt:variant>
      <vt:variant>
        <vt:i4>524390</vt:i4>
      </vt:variant>
      <vt:variant>
        <vt:i4>3</vt:i4>
      </vt:variant>
      <vt:variant>
        <vt:i4>0</vt:i4>
      </vt:variant>
      <vt:variant>
        <vt:i4>5</vt:i4>
      </vt:variant>
      <vt:variant>
        <vt:lpwstr>mailto:joakim.wincent@hanken.fi</vt:lpwstr>
      </vt:variant>
      <vt:variant>
        <vt:lpwstr/>
      </vt:variant>
      <vt:variant>
        <vt:i4>3932173</vt:i4>
      </vt:variant>
      <vt:variant>
        <vt:i4>0</vt:i4>
      </vt:variant>
      <vt:variant>
        <vt:i4>0</vt:i4>
      </vt:variant>
      <vt:variant>
        <vt:i4>5</vt:i4>
      </vt:variant>
      <vt:variant>
        <vt:lpwstr>mailto:sanokhin@kent.edu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Measuring technological arbitrage opportunities:</dc:title>
  <dc:subject/>
  <dc:creator>joavin-local</dc:creator>
  <cp:keywords/>
  <cp:lastModifiedBy>Margareta Danielsson</cp:lastModifiedBy>
  <cp:revision>2</cp:revision>
  <dcterms:created xsi:type="dcterms:W3CDTF">2017-12-05T11:27:00Z</dcterms:created>
  <dcterms:modified xsi:type="dcterms:W3CDTF">2017-12-05T11:27:00Z</dcterms:modified>
</cp:coreProperties>
</file>