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FBE" w:rsidRPr="003269F1" w:rsidRDefault="00513FBE" w:rsidP="003269F1">
      <w:pPr>
        <w:spacing w:line="276" w:lineRule="auto"/>
        <w:rPr>
          <w:rFonts w:ascii="Times New Roman" w:hAnsi="Times New Roman"/>
          <w:lang w:val="en-US"/>
        </w:rPr>
      </w:pPr>
      <w:bookmarkStart w:id="0" w:name="_Toc341769826"/>
      <w:r w:rsidRPr="003269F1">
        <w:rPr>
          <w:rFonts w:ascii="Times New Roman" w:hAnsi="Times New Roman"/>
          <w:lang w:val="en-US"/>
        </w:rPr>
        <w:t>This is the post-print version (Author A</w:t>
      </w:r>
      <w:r w:rsidRPr="003269F1">
        <w:rPr>
          <w:rStyle w:val="Emphasis"/>
          <w:rFonts w:ascii="Times New Roman" w:hAnsi="Times New Roman"/>
          <w:i w:val="0"/>
          <w:szCs w:val="22"/>
          <w:lang w:val="en-US"/>
        </w:rPr>
        <w:t>ccepted Manuscript</w:t>
      </w:r>
      <w:r w:rsidRPr="003269F1">
        <w:rPr>
          <w:rFonts w:ascii="Times New Roman" w:hAnsi="Times New Roman"/>
          <w:i/>
          <w:lang w:val="en-US"/>
        </w:rPr>
        <w:t>)</w:t>
      </w:r>
      <w:r w:rsidRPr="003269F1">
        <w:rPr>
          <w:rFonts w:ascii="Times New Roman" w:hAnsi="Times New Roman"/>
          <w:lang w:val="en-US"/>
        </w:rPr>
        <w:t xml:space="preserve"> of the artic</w:t>
      </w:r>
      <w:bookmarkStart w:id="1" w:name="_GoBack"/>
      <w:bookmarkEnd w:id="1"/>
      <w:r w:rsidRPr="003269F1">
        <w:rPr>
          <w:rFonts w:ascii="Times New Roman" w:hAnsi="Times New Roman"/>
          <w:lang w:val="en-US"/>
        </w:rPr>
        <w:t>le</w:t>
      </w:r>
      <w:r w:rsidRPr="003269F1">
        <w:rPr>
          <w:rFonts w:ascii="Times New Roman" w:hAnsi="Times New Roman"/>
          <w:lang w:val="en-US"/>
        </w:rPr>
        <w:br/>
        <w:t>Siekkinen, J. (2016). Value relevance of fair values in different investor protection environments.</w:t>
      </w:r>
      <w:r w:rsidRPr="003269F1">
        <w:rPr>
          <w:rFonts w:ascii="Times New Roman" w:hAnsi="Times New Roman"/>
          <w:i/>
          <w:iCs/>
          <w:lang w:val="en-US"/>
        </w:rPr>
        <w:t xml:space="preserve"> Accounting Forum</w:t>
      </w:r>
      <w:r w:rsidRPr="003269F1">
        <w:rPr>
          <w:rFonts w:ascii="Times New Roman" w:hAnsi="Times New Roman"/>
          <w:iCs/>
          <w:lang w:val="en-US"/>
        </w:rPr>
        <w:t xml:space="preserve"> 40</w:t>
      </w:r>
      <w:r w:rsidRPr="003269F1">
        <w:rPr>
          <w:rFonts w:ascii="Times New Roman" w:hAnsi="Times New Roman"/>
          <w:lang w:val="en-US"/>
        </w:rPr>
        <w:t xml:space="preserve">(1), 1-15. doi:10.1016/j.accfor.2015.11.001 </w:t>
      </w:r>
      <w:r w:rsidRPr="003269F1">
        <w:rPr>
          <w:rFonts w:ascii="Times New Roman" w:hAnsi="Times New Roman"/>
          <w:lang w:val="en-US"/>
        </w:rPr>
        <w:br/>
        <w:t xml:space="preserve">Readers are asked to use the official publication in references. This version is stored in the Institutional Repository of the Hanken School of Economics, DHanken. </w:t>
      </w:r>
    </w:p>
    <w:p w:rsidR="00513FBE" w:rsidRPr="00513FBE" w:rsidRDefault="00513FBE" w:rsidP="000B7D81">
      <w:pPr>
        <w:pStyle w:val="H1e"/>
        <w:rPr>
          <w:lang w:val="en-US"/>
        </w:rPr>
      </w:pPr>
    </w:p>
    <w:p w:rsidR="000B7D81" w:rsidRPr="008D59AC" w:rsidRDefault="000B7D81" w:rsidP="000B7D81">
      <w:pPr>
        <w:pStyle w:val="H1e"/>
        <w:rPr>
          <w:lang w:val="en-GB"/>
        </w:rPr>
      </w:pPr>
      <w:r w:rsidRPr="008D59AC">
        <w:rPr>
          <w:lang w:val="en-GB"/>
        </w:rPr>
        <w:t>Value relevance of fair values in different investor protection environments</w:t>
      </w:r>
    </w:p>
    <w:p w:rsidR="000B7D81" w:rsidRPr="008D59AC" w:rsidRDefault="000B7D81" w:rsidP="000B7D81">
      <w:pPr>
        <w:pStyle w:val="H1e"/>
        <w:jc w:val="left"/>
        <w:rPr>
          <w:lang w:val="en-GB"/>
        </w:rPr>
      </w:pPr>
    </w:p>
    <w:p w:rsidR="000B7D81" w:rsidRPr="008D59AC" w:rsidRDefault="000B7D81" w:rsidP="000B7D81">
      <w:pPr>
        <w:pStyle w:val="H1e"/>
        <w:jc w:val="left"/>
        <w:rPr>
          <w:lang w:val="en-GB"/>
        </w:rPr>
      </w:pPr>
    </w:p>
    <w:p w:rsidR="000B7D81" w:rsidRPr="008D59AC" w:rsidRDefault="000B7D81" w:rsidP="000B7D81">
      <w:pPr>
        <w:pStyle w:val="H1e"/>
        <w:spacing w:line="240" w:lineRule="auto"/>
        <w:rPr>
          <w:sz w:val="28"/>
          <w:lang w:val="en-GB"/>
        </w:rPr>
      </w:pPr>
      <w:r w:rsidRPr="008D59AC">
        <w:rPr>
          <w:sz w:val="28"/>
          <w:lang w:val="en-GB"/>
        </w:rPr>
        <w:t>Jimi Siekkinen</w:t>
      </w:r>
    </w:p>
    <w:p w:rsidR="000B7D81" w:rsidRPr="008D59AC" w:rsidRDefault="000B7D81" w:rsidP="000B7D81">
      <w:pPr>
        <w:pStyle w:val="H1e"/>
        <w:spacing w:after="120" w:line="240" w:lineRule="auto"/>
        <w:rPr>
          <w:sz w:val="24"/>
          <w:lang w:val="en-GB"/>
        </w:rPr>
      </w:pPr>
      <w:r w:rsidRPr="008D59AC">
        <w:rPr>
          <w:sz w:val="24"/>
          <w:lang w:val="en-GB"/>
        </w:rPr>
        <w:t>Hanken School of Economics</w:t>
      </w:r>
    </w:p>
    <w:p w:rsidR="000B7D81" w:rsidRPr="008D59AC" w:rsidRDefault="000B7D81" w:rsidP="000B7D81">
      <w:pPr>
        <w:pStyle w:val="H1e"/>
        <w:spacing w:after="120" w:line="360" w:lineRule="auto"/>
        <w:rPr>
          <w:sz w:val="24"/>
          <w:lang w:val="en-GB"/>
        </w:rPr>
      </w:pPr>
      <w:r w:rsidRPr="008D59AC">
        <w:rPr>
          <w:sz w:val="24"/>
          <w:lang w:val="en-GB"/>
        </w:rPr>
        <w:t>Email: jimi.siekkinen@hanken.fi</w:t>
      </w:r>
    </w:p>
    <w:p w:rsidR="000B7D81" w:rsidRPr="008D59AC" w:rsidRDefault="008D59AC" w:rsidP="000B7D81">
      <w:pPr>
        <w:pStyle w:val="H1e"/>
        <w:spacing w:line="360" w:lineRule="auto"/>
        <w:rPr>
          <w:sz w:val="28"/>
          <w:lang w:val="en-GB"/>
        </w:rPr>
      </w:pPr>
      <w:r w:rsidRPr="008D59AC">
        <w:rPr>
          <w:sz w:val="28"/>
          <w:lang w:val="en-GB"/>
        </w:rPr>
        <w:t>August</w:t>
      </w:r>
      <w:r w:rsidR="000B7D81" w:rsidRPr="008D59AC">
        <w:rPr>
          <w:sz w:val="28"/>
          <w:lang w:val="en-GB"/>
        </w:rPr>
        <w:t>, 2015</w:t>
      </w:r>
    </w:p>
    <w:p w:rsidR="001B58B4" w:rsidRPr="008D59AC" w:rsidRDefault="001B58B4" w:rsidP="001B58B4">
      <w:pPr>
        <w:pStyle w:val="HBodyText"/>
        <w:rPr>
          <w:rFonts w:ascii="Georgia" w:hAnsi="Georgia"/>
          <w:b/>
          <w:sz w:val="26"/>
          <w:szCs w:val="26"/>
          <w:lang w:val="en-GB"/>
        </w:rPr>
      </w:pPr>
      <w:r w:rsidRPr="008D59AC">
        <w:rPr>
          <w:rFonts w:ascii="Georgia" w:hAnsi="Georgia"/>
          <w:b/>
          <w:sz w:val="26"/>
          <w:szCs w:val="26"/>
          <w:lang w:val="en-GB"/>
        </w:rPr>
        <w:t xml:space="preserve">ABSTRACT: </w:t>
      </w:r>
    </w:p>
    <w:p w:rsidR="001B58B4" w:rsidRPr="008D59AC" w:rsidRDefault="001B58B4" w:rsidP="001B58B4">
      <w:pPr>
        <w:pStyle w:val="HBodyText"/>
        <w:rPr>
          <w:lang w:val="en-GB"/>
        </w:rPr>
      </w:pPr>
      <w:r w:rsidRPr="008D59AC">
        <w:rPr>
          <w:lang w:val="en-GB"/>
        </w:rPr>
        <w:t>This paper examines whether the</w:t>
      </w:r>
      <w:r w:rsidR="002E01D8" w:rsidRPr="008D59AC">
        <w:rPr>
          <w:lang w:val="en-GB"/>
        </w:rPr>
        <w:t xml:space="preserve"> value relevance of fair values</w:t>
      </w:r>
      <w:r w:rsidRPr="008D59AC">
        <w:rPr>
          <w:lang w:val="en-GB"/>
        </w:rPr>
        <w:t xml:space="preserve"> varies across investor pr</w:t>
      </w:r>
      <w:r w:rsidR="008D59AC">
        <w:rPr>
          <w:lang w:val="en-GB"/>
        </w:rPr>
        <w:t>otection environments. By analys</w:t>
      </w:r>
      <w:r w:rsidRPr="008D59AC">
        <w:rPr>
          <w:lang w:val="en-GB"/>
        </w:rPr>
        <w:t>ing financial firms from 34 countries this study finds evidence that fair value</w:t>
      </w:r>
      <w:r w:rsidR="002E01D8" w:rsidRPr="008D59AC">
        <w:rPr>
          <w:lang w:val="en-GB"/>
        </w:rPr>
        <w:t>s</w:t>
      </w:r>
      <w:r w:rsidRPr="008D59AC">
        <w:rPr>
          <w:lang w:val="en-GB"/>
        </w:rPr>
        <w:t xml:space="preserve">, irrespective of the level in the fair value hierarchy, are value relevant in countries with a strong or medium investor protection environment. In a weak investor protection environment, </w:t>
      </w:r>
      <w:r w:rsidR="00B45864" w:rsidRPr="008D59AC">
        <w:rPr>
          <w:lang w:val="en-GB"/>
        </w:rPr>
        <w:t>o</w:t>
      </w:r>
      <w:r w:rsidR="003C5E31" w:rsidRPr="008D59AC">
        <w:rPr>
          <w:lang w:val="en-GB"/>
        </w:rPr>
        <w:t>nly market prices (l</w:t>
      </w:r>
      <w:r w:rsidR="00B45864" w:rsidRPr="008D59AC">
        <w:rPr>
          <w:lang w:val="en-GB"/>
        </w:rPr>
        <w:t>evel 1) are</w:t>
      </w:r>
      <w:r w:rsidRPr="008D59AC">
        <w:rPr>
          <w:lang w:val="en-GB"/>
        </w:rPr>
        <w:t xml:space="preserve"> relevant to investors. In addition</w:t>
      </w:r>
      <w:r w:rsidR="00150395" w:rsidRPr="008D59AC">
        <w:rPr>
          <w:lang w:val="en-GB"/>
        </w:rPr>
        <w:t>,</w:t>
      </w:r>
      <w:r w:rsidRPr="008D59AC">
        <w:rPr>
          <w:lang w:val="en-GB"/>
        </w:rPr>
        <w:t xml:space="preserve"> the results indicate that the difference in val</w:t>
      </w:r>
      <w:r w:rsidR="00B45864" w:rsidRPr="008D59AC">
        <w:rPr>
          <w:lang w:val="en-GB"/>
        </w:rPr>
        <w:t>ue relevance between market prices</w:t>
      </w:r>
      <w:r w:rsidR="003C5E31" w:rsidRPr="008D59AC">
        <w:rPr>
          <w:lang w:val="en-GB"/>
        </w:rPr>
        <w:t xml:space="preserve"> (l</w:t>
      </w:r>
      <w:r w:rsidRPr="008D59AC">
        <w:rPr>
          <w:lang w:val="en-GB"/>
        </w:rPr>
        <w:t>eve</w:t>
      </w:r>
      <w:r w:rsidR="003C5E31" w:rsidRPr="008D59AC">
        <w:rPr>
          <w:lang w:val="en-GB"/>
        </w:rPr>
        <w:t>l 1) and fair value estimates (l</w:t>
      </w:r>
      <w:r w:rsidRPr="008D59AC">
        <w:rPr>
          <w:lang w:val="en-GB"/>
        </w:rPr>
        <w:t xml:space="preserve">evel 3) decreases with the quality of investor protection. </w:t>
      </w:r>
    </w:p>
    <w:p w:rsidR="001B58B4" w:rsidRPr="008D59AC" w:rsidRDefault="001B58B4" w:rsidP="001B58B4">
      <w:pPr>
        <w:pStyle w:val="HBodyText"/>
        <w:rPr>
          <w:b/>
          <w:sz w:val="24"/>
          <w:lang w:val="en-GB"/>
        </w:rPr>
      </w:pPr>
      <w:r w:rsidRPr="008D59AC">
        <w:rPr>
          <w:b/>
          <w:sz w:val="24"/>
          <w:lang w:val="en-GB"/>
        </w:rPr>
        <w:t xml:space="preserve">Key words: </w:t>
      </w:r>
    </w:p>
    <w:p w:rsidR="001B58B4" w:rsidRPr="008D59AC" w:rsidRDefault="001B58B4" w:rsidP="001B58B4">
      <w:pPr>
        <w:pStyle w:val="HBodyText"/>
        <w:rPr>
          <w:lang w:val="en-GB"/>
        </w:rPr>
      </w:pPr>
      <w:r w:rsidRPr="008D59AC">
        <w:rPr>
          <w:lang w:val="en-GB"/>
        </w:rPr>
        <w:t>IFRS 13, Fair value accounting, Investor protection, Value relevance, Fair value hierarchy</w:t>
      </w:r>
    </w:p>
    <w:p w:rsidR="000B7D81" w:rsidRPr="008D59AC" w:rsidRDefault="000B7D81" w:rsidP="001B58B4">
      <w:pPr>
        <w:pStyle w:val="HBodyText"/>
        <w:rPr>
          <w:lang w:val="en-GB"/>
        </w:rPr>
        <w:sectPr w:rsidR="000B7D81" w:rsidRPr="008D59AC" w:rsidSect="00513FBE">
          <w:headerReference w:type="default" r:id="rId8"/>
          <w:pgSz w:w="11907" w:h="16840"/>
          <w:pgMar w:top="851" w:right="1440" w:bottom="1440" w:left="1440" w:header="567" w:footer="0" w:gutter="0"/>
          <w:pgNumType w:start="1"/>
          <w:cols w:space="720"/>
          <w:formProt w:val="0"/>
          <w:docGrid w:linePitch="299"/>
        </w:sectPr>
      </w:pPr>
    </w:p>
    <w:p w:rsidR="00CE0FB9" w:rsidRPr="008D59AC" w:rsidRDefault="00281E1B">
      <w:pPr>
        <w:pStyle w:val="HHead1"/>
        <w:rPr>
          <w:lang w:val="en-GB"/>
        </w:rPr>
      </w:pPr>
      <w:r w:rsidRPr="008D59AC">
        <w:rPr>
          <w:lang w:val="en-GB"/>
        </w:rPr>
        <w:lastRenderedPageBreak/>
        <w:t>Introduction</w:t>
      </w:r>
      <w:bookmarkEnd w:id="0"/>
    </w:p>
    <w:p w:rsidR="00D26594" w:rsidRPr="008D59AC" w:rsidRDefault="00D26594" w:rsidP="00D26594">
      <w:pPr>
        <w:pStyle w:val="HBodyText"/>
        <w:rPr>
          <w:lang w:val="en-GB"/>
        </w:rPr>
      </w:pPr>
      <w:r w:rsidRPr="008D59AC">
        <w:rPr>
          <w:lang w:val="en-GB"/>
        </w:rPr>
        <w:t>This paper investigates the effect of investor protection environments on the value relevance of fair values in the fair value hierarchy as stipulated by IFRS 13.</w:t>
      </w:r>
      <w:r w:rsidR="007824A3" w:rsidRPr="008D59AC">
        <w:rPr>
          <w:rStyle w:val="FootnoteReference"/>
          <w:lang w:val="en-GB"/>
        </w:rPr>
        <w:footnoteReference w:id="1"/>
      </w:r>
      <w:r w:rsidRPr="008D59AC">
        <w:rPr>
          <w:lang w:val="en-GB"/>
        </w:rPr>
        <w:t xml:space="preserve"> </w:t>
      </w:r>
      <w:r w:rsidR="00E37B71" w:rsidRPr="008D59AC">
        <w:rPr>
          <w:lang w:val="en-GB"/>
        </w:rPr>
        <w:t xml:space="preserve">The </w:t>
      </w:r>
      <w:r w:rsidRPr="008D59AC">
        <w:rPr>
          <w:lang w:val="en-GB"/>
        </w:rPr>
        <w:t>International Accounting Standards Board (IASB) argues that the management discre</w:t>
      </w:r>
      <w:r w:rsidR="00E37B71" w:rsidRPr="008D59AC">
        <w:rPr>
          <w:lang w:val="en-GB"/>
        </w:rPr>
        <w:t xml:space="preserve">tion in fair value accounting should be </w:t>
      </w:r>
      <w:r w:rsidRPr="008D59AC">
        <w:rPr>
          <w:lang w:val="en-GB"/>
        </w:rPr>
        <w:t>used to increase the relevance of financial information by communicating private information to investors (Barth et al.</w:t>
      </w:r>
      <w:r w:rsidR="00892CAA" w:rsidRPr="008D59AC">
        <w:rPr>
          <w:lang w:val="en-GB"/>
        </w:rPr>
        <w:t>,</w:t>
      </w:r>
      <w:r w:rsidRPr="008D59AC">
        <w:rPr>
          <w:lang w:val="en-GB"/>
        </w:rPr>
        <w:t xml:space="preserve"> 2001). However, management discretion</w:t>
      </w:r>
      <w:r w:rsidR="009C5B78" w:rsidRPr="008D59AC">
        <w:rPr>
          <w:lang w:val="en-GB"/>
        </w:rPr>
        <w:t xml:space="preserve"> in fair value accounting</w:t>
      </w:r>
      <w:r w:rsidRPr="008D59AC">
        <w:rPr>
          <w:lang w:val="en-GB"/>
        </w:rPr>
        <w:t xml:space="preserve"> allowed under IFRS can be misused</w:t>
      </w:r>
      <w:r w:rsidR="00CB5707" w:rsidRPr="008D59AC">
        <w:rPr>
          <w:lang w:val="en-GB"/>
        </w:rPr>
        <w:t xml:space="preserve"> (e.g. negative earnings management, Fargher &amp; Zhang, 2014)</w:t>
      </w:r>
      <w:r w:rsidRPr="008D59AC">
        <w:rPr>
          <w:lang w:val="en-GB"/>
        </w:rPr>
        <w:t xml:space="preserve"> by opportunistic managers to increase their wealth </w:t>
      </w:r>
      <w:r w:rsidR="009C5B78" w:rsidRPr="008D59AC">
        <w:rPr>
          <w:lang w:val="en-GB"/>
        </w:rPr>
        <w:t>at the expense of shareholders (Dechow et al.</w:t>
      </w:r>
      <w:r w:rsidR="00892CAA" w:rsidRPr="008D59AC">
        <w:rPr>
          <w:lang w:val="en-GB"/>
        </w:rPr>
        <w:t>,</w:t>
      </w:r>
      <w:r w:rsidR="009C5B78" w:rsidRPr="008D59AC">
        <w:rPr>
          <w:lang w:val="en-GB"/>
        </w:rPr>
        <w:t xml:space="preserve"> 2010; </w:t>
      </w:r>
      <w:r w:rsidRPr="008D59AC">
        <w:rPr>
          <w:lang w:val="en-GB"/>
        </w:rPr>
        <w:t>Bowen et al.</w:t>
      </w:r>
      <w:r w:rsidR="00892CAA" w:rsidRPr="008D59AC">
        <w:rPr>
          <w:lang w:val="en-GB"/>
        </w:rPr>
        <w:t>,</w:t>
      </w:r>
      <w:r w:rsidRPr="008D59AC">
        <w:rPr>
          <w:lang w:val="en-GB"/>
        </w:rPr>
        <w:t xml:space="preserve"> 2008). </w:t>
      </w:r>
      <w:r w:rsidR="006E06F3" w:rsidRPr="008D59AC">
        <w:rPr>
          <w:lang w:val="en-GB"/>
        </w:rPr>
        <w:t>To meet certain self-interested targets, m</w:t>
      </w:r>
      <w:r w:rsidRPr="008D59AC">
        <w:rPr>
          <w:lang w:val="en-GB"/>
        </w:rPr>
        <w:t>anagers use discretion in goodwill impairment d</w:t>
      </w:r>
      <w:r w:rsidR="0039262C" w:rsidRPr="008D59AC">
        <w:rPr>
          <w:lang w:val="en-GB"/>
        </w:rPr>
        <w:t xml:space="preserve">ecisions (Beatty </w:t>
      </w:r>
      <w:r w:rsidR="00892CAA" w:rsidRPr="008D59AC">
        <w:rPr>
          <w:lang w:val="en-GB"/>
        </w:rPr>
        <w:t>&amp;</w:t>
      </w:r>
      <w:r w:rsidR="0039262C" w:rsidRPr="008D59AC">
        <w:rPr>
          <w:lang w:val="en-GB"/>
        </w:rPr>
        <w:t xml:space="preserve"> Weber</w:t>
      </w:r>
      <w:r w:rsidR="00892CAA" w:rsidRPr="008D59AC">
        <w:rPr>
          <w:lang w:val="en-GB"/>
        </w:rPr>
        <w:t>,</w:t>
      </w:r>
      <w:r w:rsidR="0039262C" w:rsidRPr="008D59AC">
        <w:rPr>
          <w:lang w:val="en-GB"/>
        </w:rPr>
        <w:t xml:space="preserve"> 2006</w:t>
      </w:r>
      <w:r w:rsidRPr="008D59AC">
        <w:rPr>
          <w:lang w:val="en-GB"/>
        </w:rPr>
        <w:t>), estimation of stock option values (Bartov et al.</w:t>
      </w:r>
      <w:r w:rsidR="00892CAA" w:rsidRPr="008D59AC">
        <w:rPr>
          <w:lang w:val="en-GB"/>
        </w:rPr>
        <w:t>,</w:t>
      </w:r>
      <w:r w:rsidRPr="008D59AC">
        <w:rPr>
          <w:lang w:val="en-GB"/>
        </w:rPr>
        <w:t xml:space="preserve"> 2007; Abody et al.</w:t>
      </w:r>
      <w:r w:rsidR="00892CAA" w:rsidRPr="008D59AC">
        <w:rPr>
          <w:lang w:val="en-GB"/>
        </w:rPr>
        <w:t>,</w:t>
      </w:r>
      <w:r w:rsidRPr="008D59AC">
        <w:rPr>
          <w:lang w:val="en-GB"/>
        </w:rPr>
        <w:t xml:space="preserve"> 2006)</w:t>
      </w:r>
      <w:r w:rsidR="0002483E" w:rsidRPr="008D59AC">
        <w:rPr>
          <w:lang w:val="en-GB"/>
        </w:rPr>
        <w:t>,</w:t>
      </w:r>
      <w:r w:rsidRPr="008D59AC">
        <w:rPr>
          <w:lang w:val="en-GB"/>
        </w:rPr>
        <w:t xml:space="preserve"> and timely recognition of income and losses (Myers et al.</w:t>
      </w:r>
      <w:r w:rsidR="00892CAA" w:rsidRPr="008D59AC">
        <w:rPr>
          <w:lang w:val="en-GB"/>
        </w:rPr>
        <w:t>,</w:t>
      </w:r>
      <w:r w:rsidRPr="008D59AC">
        <w:rPr>
          <w:lang w:val="en-GB"/>
        </w:rPr>
        <w:t xml:space="preserve"> 2007). However, the effectiveness of a country</w:t>
      </w:r>
      <w:r w:rsidR="00AC2B34" w:rsidRPr="008D59AC">
        <w:rPr>
          <w:lang w:val="en-GB"/>
        </w:rPr>
        <w:t xml:space="preserve">’s legal system in protecting </w:t>
      </w:r>
      <w:r w:rsidRPr="008D59AC">
        <w:rPr>
          <w:lang w:val="en-GB"/>
        </w:rPr>
        <w:t>outside shareholders (i.e. investor protection) limits the managers’ ability to misuse accounting discretion (Leuz et al.</w:t>
      </w:r>
      <w:r w:rsidR="00892CAA" w:rsidRPr="008D59AC">
        <w:rPr>
          <w:lang w:val="en-GB"/>
        </w:rPr>
        <w:t>,</w:t>
      </w:r>
      <w:r w:rsidRPr="008D59AC">
        <w:rPr>
          <w:lang w:val="en-GB"/>
        </w:rPr>
        <w:t xml:space="preserve"> 2003). Hence, Leuz et al</w:t>
      </w:r>
      <w:r w:rsidR="00AC2B34" w:rsidRPr="008D59AC">
        <w:rPr>
          <w:lang w:val="en-GB"/>
        </w:rPr>
        <w:t>.</w:t>
      </w:r>
      <w:r w:rsidRPr="008D59AC">
        <w:rPr>
          <w:lang w:val="en-GB"/>
        </w:rPr>
        <w:t xml:space="preserve"> (2003) argue that the managers’ incentives for opportunistic behaviour decreases with the level of investor protection. </w:t>
      </w:r>
      <w:r w:rsidR="00424FE8" w:rsidRPr="008D59AC">
        <w:rPr>
          <w:lang w:val="en-GB"/>
        </w:rPr>
        <w:t>Examining</w:t>
      </w:r>
      <w:r w:rsidRPr="008D59AC">
        <w:rPr>
          <w:lang w:val="en-GB"/>
        </w:rPr>
        <w:t xml:space="preserve"> the value relevance of fair values in an international setting </w:t>
      </w:r>
      <w:r w:rsidR="00424FE8" w:rsidRPr="008D59AC">
        <w:rPr>
          <w:lang w:val="en-GB"/>
        </w:rPr>
        <w:t>may offer insights on</w:t>
      </w:r>
      <w:r w:rsidR="007B3B4A" w:rsidRPr="008D59AC">
        <w:rPr>
          <w:lang w:val="en-GB"/>
        </w:rPr>
        <w:t xml:space="preserve"> how investor protection affects the relevance of fair value disclosures</w:t>
      </w:r>
      <w:r w:rsidRPr="008D59AC">
        <w:rPr>
          <w:lang w:val="en-GB"/>
        </w:rPr>
        <w:t xml:space="preserve">. </w:t>
      </w:r>
      <w:r w:rsidR="007B3B4A" w:rsidRPr="008D59AC">
        <w:rPr>
          <w:lang w:val="en-GB"/>
        </w:rPr>
        <w:t xml:space="preserve">Finally, an international study is relevant as the value relevance of accounting numbers </w:t>
      </w:r>
      <w:r w:rsidR="00DA1188" w:rsidRPr="008D59AC">
        <w:rPr>
          <w:lang w:val="en-GB"/>
        </w:rPr>
        <w:t>seem to vary</w:t>
      </w:r>
      <w:r w:rsidR="007B3B4A" w:rsidRPr="008D59AC">
        <w:rPr>
          <w:lang w:val="en-GB"/>
        </w:rPr>
        <w:t xml:space="preserve"> across jurisdictions.</w:t>
      </w:r>
    </w:p>
    <w:p w:rsidR="00D26594" w:rsidRPr="008D59AC" w:rsidRDefault="00D26594" w:rsidP="00D26594">
      <w:pPr>
        <w:pStyle w:val="HBodyText"/>
        <w:rPr>
          <w:lang w:val="en-GB"/>
        </w:rPr>
      </w:pPr>
      <w:r w:rsidRPr="008D59AC">
        <w:rPr>
          <w:lang w:val="en-GB"/>
        </w:rPr>
        <w:t>Ali and Hwang (2000) show that the value relevance of accounting numbers is lower for countries with bank-oriented financial systems compared to countries with market-oriented financial systems.</w:t>
      </w:r>
      <w:r w:rsidRPr="008D59AC">
        <w:rPr>
          <w:rStyle w:val="FootnoteReference"/>
          <w:lang w:val="en-GB"/>
        </w:rPr>
        <w:footnoteReference w:id="2"/>
      </w:r>
      <w:r w:rsidRPr="008D59AC">
        <w:rPr>
          <w:lang w:val="en-GB"/>
        </w:rPr>
        <w:t xml:space="preserve"> Additionally, DeFond et al. (2007), among others, find that </w:t>
      </w:r>
      <w:r w:rsidR="00DC2DB9" w:rsidRPr="008D59AC">
        <w:rPr>
          <w:lang w:val="en-GB"/>
        </w:rPr>
        <w:t>firms</w:t>
      </w:r>
      <w:r w:rsidRPr="008D59AC">
        <w:rPr>
          <w:lang w:val="en-GB"/>
        </w:rPr>
        <w:t xml:space="preserve"> located in stronger investor protection environments have more informative accounting numbers. By comparing the value relevance of U.S</w:t>
      </w:r>
      <w:r w:rsidR="00E75037" w:rsidRPr="008D59AC">
        <w:rPr>
          <w:lang w:val="en-GB"/>
        </w:rPr>
        <w:t>.</w:t>
      </w:r>
      <w:r w:rsidRPr="008D59AC">
        <w:rPr>
          <w:lang w:val="en-GB"/>
        </w:rPr>
        <w:t xml:space="preserve"> and Italian banks, Laghi et al. (2012) show that the fair values under SFAS 157 are more value relevant than the fair values under IFRS 7. They argue that even though SFAS 157 and IFRS 13 can be considered very similar, the economic consequences of the two different standards have to be </w:t>
      </w:r>
      <w:r w:rsidR="008D59AC" w:rsidRPr="008D59AC">
        <w:rPr>
          <w:lang w:val="en-GB"/>
        </w:rPr>
        <w:t>analysed</w:t>
      </w:r>
      <w:r w:rsidRPr="008D59AC">
        <w:rPr>
          <w:lang w:val="en-GB"/>
        </w:rPr>
        <w:t xml:space="preserve"> more thoroughly. Thus, it is assumed that</w:t>
      </w:r>
      <w:r w:rsidR="00866B5D" w:rsidRPr="008D59AC">
        <w:rPr>
          <w:lang w:val="en-GB"/>
        </w:rPr>
        <w:t>, although the standards are similar,</w:t>
      </w:r>
      <w:r w:rsidRPr="008D59AC">
        <w:rPr>
          <w:lang w:val="en-GB"/>
        </w:rPr>
        <w:t xml:space="preserve"> the value relevance of fair values varies across different investor protection environments and across different financial systems.</w:t>
      </w:r>
    </w:p>
    <w:p w:rsidR="00D26594" w:rsidRPr="008D59AC" w:rsidRDefault="00D22E1E" w:rsidP="00D26594">
      <w:pPr>
        <w:pStyle w:val="HBodyText"/>
        <w:rPr>
          <w:lang w:val="en-GB"/>
        </w:rPr>
      </w:pPr>
      <w:r w:rsidRPr="008D59AC">
        <w:rPr>
          <w:lang w:val="en-GB"/>
        </w:rPr>
        <w:lastRenderedPageBreak/>
        <w:t>Using a sample of 985</w:t>
      </w:r>
      <w:r w:rsidR="00866B5D" w:rsidRPr="008D59AC">
        <w:rPr>
          <w:lang w:val="en-GB"/>
        </w:rPr>
        <w:t xml:space="preserve"> firm-year observations from 34 </w:t>
      </w:r>
      <w:r w:rsidR="00C121F3" w:rsidRPr="008D59AC">
        <w:rPr>
          <w:lang w:val="en-GB"/>
        </w:rPr>
        <w:t>IFRS-</w:t>
      </w:r>
      <w:r w:rsidR="00A02A00" w:rsidRPr="008D59AC">
        <w:rPr>
          <w:lang w:val="en-GB"/>
        </w:rPr>
        <w:t xml:space="preserve">countries, </w:t>
      </w:r>
      <w:r w:rsidR="00D26594" w:rsidRPr="008D59AC">
        <w:rPr>
          <w:lang w:val="en-GB"/>
        </w:rPr>
        <w:t>the purpose</w:t>
      </w:r>
      <w:r w:rsidR="00DE3DF5" w:rsidRPr="008D59AC">
        <w:rPr>
          <w:lang w:val="en-GB"/>
        </w:rPr>
        <w:t xml:space="preserve"> of this study</w:t>
      </w:r>
      <w:r w:rsidR="00D26594" w:rsidRPr="008D59AC">
        <w:rPr>
          <w:lang w:val="en-GB"/>
        </w:rPr>
        <w:t xml:space="preserve"> is to </w:t>
      </w:r>
      <w:r w:rsidR="008D59AC" w:rsidRPr="008D59AC">
        <w:rPr>
          <w:lang w:val="en-GB"/>
        </w:rPr>
        <w:t>analyse</w:t>
      </w:r>
      <w:r w:rsidR="00D26594" w:rsidRPr="008D59AC">
        <w:rPr>
          <w:lang w:val="en-GB"/>
        </w:rPr>
        <w:t xml:space="preserve"> whether the value relevance of fair values varies across different investor protection environments. </w:t>
      </w:r>
      <w:r w:rsidR="00866B5D" w:rsidRPr="008D59AC">
        <w:rPr>
          <w:lang w:val="en-GB"/>
        </w:rPr>
        <w:t>To</w:t>
      </w:r>
      <w:r w:rsidR="00D26594" w:rsidRPr="008D59AC">
        <w:rPr>
          <w:lang w:val="en-GB"/>
        </w:rPr>
        <w:t xml:space="preserve"> determine the value relevance of financial statements</w:t>
      </w:r>
      <w:r w:rsidR="00866B5D" w:rsidRPr="008D59AC">
        <w:rPr>
          <w:lang w:val="en-GB"/>
        </w:rPr>
        <w:t>,</w:t>
      </w:r>
      <w:r w:rsidR="00D26594" w:rsidRPr="008D59AC">
        <w:rPr>
          <w:lang w:val="en-GB"/>
        </w:rPr>
        <w:t xml:space="preserve"> the relationship between accounting numbers and share prices </w:t>
      </w:r>
      <w:r w:rsidR="00866B5D" w:rsidRPr="008D59AC">
        <w:rPr>
          <w:lang w:val="en-GB"/>
        </w:rPr>
        <w:t xml:space="preserve">is </w:t>
      </w:r>
      <w:r w:rsidR="008D59AC" w:rsidRPr="008D59AC">
        <w:rPr>
          <w:lang w:val="en-GB"/>
        </w:rPr>
        <w:t>analysed</w:t>
      </w:r>
      <w:r w:rsidR="00866B5D" w:rsidRPr="008D59AC">
        <w:rPr>
          <w:lang w:val="en-GB"/>
        </w:rPr>
        <w:t xml:space="preserve"> </w:t>
      </w:r>
      <w:r w:rsidR="00A07E5E" w:rsidRPr="008D59AC">
        <w:rPr>
          <w:lang w:val="en-GB"/>
        </w:rPr>
        <w:t>(e.g. Aharony et al.</w:t>
      </w:r>
      <w:r w:rsidR="00892CAA" w:rsidRPr="008D59AC">
        <w:rPr>
          <w:lang w:val="en-GB"/>
        </w:rPr>
        <w:t>,</w:t>
      </w:r>
      <w:r w:rsidR="00A02A00" w:rsidRPr="008D59AC">
        <w:rPr>
          <w:lang w:val="en-GB"/>
        </w:rPr>
        <w:t xml:space="preserve"> 2010). </w:t>
      </w:r>
      <w:r w:rsidR="008D59AC">
        <w:rPr>
          <w:lang w:val="en-GB"/>
        </w:rPr>
        <w:t>First, by analys</w:t>
      </w:r>
      <w:r w:rsidR="00513566" w:rsidRPr="008D59AC">
        <w:rPr>
          <w:lang w:val="en-GB"/>
        </w:rPr>
        <w:t>ing the pooled sample</w:t>
      </w:r>
      <w:r w:rsidR="00502C56" w:rsidRPr="008D59AC">
        <w:rPr>
          <w:lang w:val="en-GB"/>
        </w:rPr>
        <w:t xml:space="preserve"> of 34 countries</w:t>
      </w:r>
      <w:r w:rsidR="00513566" w:rsidRPr="008D59AC">
        <w:rPr>
          <w:lang w:val="en-GB"/>
        </w:rPr>
        <w:t>, this study</w:t>
      </w:r>
      <w:r w:rsidR="00D26594" w:rsidRPr="008D59AC">
        <w:rPr>
          <w:lang w:val="en-GB"/>
        </w:rPr>
        <w:t xml:space="preserve"> finds that fair values in the fair value hierarchy a</w:t>
      </w:r>
      <w:r w:rsidR="009705FF" w:rsidRPr="008D59AC">
        <w:rPr>
          <w:lang w:val="en-GB"/>
        </w:rPr>
        <w:t>re value relevant for investors</w:t>
      </w:r>
      <w:r w:rsidR="00D227A2" w:rsidRPr="008D59AC">
        <w:rPr>
          <w:lang w:val="en-GB"/>
        </w:rPr>
        <w:t>.</w:t>
      </w:r>
      <w:r w:rsidR="00D26594" w:rsidRPr="008D59AC">
        <w:rPr>
          <w:lang w:val="en-GB"/>
        </w:rPr>
        <w:t xml:space="preserve"> Additionally, the results indicate that fair values are more value relevant than non-fair values, supporting the premise that fair values are value relevant for investors. Second, by splitting the sample</w:t>
      </w:r>
      <w:r w:rsidR="0030544F" w:rsidRPr="008D59AC">
        <w:rPr>
          <w:lang w:val="en-GB"/>
        </w:rPr>
        <w:t xml:space="preserve"> into three sub</w:t>
      </w:r>
      <w:r w:rsidR="00D26594" w:rsidRPr="008D59AC">
        <w:rPr>
          <w:lang w:val="en-GB"/>
        </w:rPr>
        <w:t>samples depending on the investor protection environment, the results indicate that the va</w:t>
      </w:r>
      <w:r w:rsidR="00513566" w:rsidRPr="008D59AC">
        <w:rPr>
          <w:lang w:val="en-GB"/>
        </w:rPr>
        <w:t>lue relevance of the fair value estimates</w:t>
      </w:r>
      <w:r w:rsidR="00D26594" w:rsidRPr="008D59AC">
        <w:rPr>
          <w:lang w:val="en-GB"/>
        </w:rPr>
        <w:t xml:space="preserve"> is positively associated with the investor protection environment. The stronger the investor protection the smaller the difference in value relevance between levels 1 to 3 fair values. In addition, in the strongest investor protection cluster investor</w:t>
      </w:r>
      <w:r w:rsidR="00513566" w:rsidRPr="008D59AC">
        <w:rPr>
          <w:lang w:val="en-GB"/>
        </w:rPr>
        <w:t>s</w:t>
      </w:r>
      <w:r w:rsidR="00D26594" w:rsidRPr="008D59AC">
        <w:rPr>
          <w:lang w:val="en-GB"/>
        </w:rPr>
        <w:t xml:space="preserve"> are willing to pay </w:t>
      </w:r>
      <w:r w:rsidR="00AB0EE9" w:rsidRPr="008D59AC">
        <w:rPr>
          <w:lang w:val="en-GB"/>
        </w:rPr>
        <w:t xml:space="preserve">close to </w:t>
      </w:r>
      <w:r w:rsidR="00D26594" w:rsidRPr="008D59AC">
        <w:rPr>
          <w:lang w:val="en-GB"/>
        </w:rPr>
        <w:t>equally much for level 1, 2, and 3 assets, while in the med</w:t>
      </w:r>
      <w:r w:rsidR="00513566" w:rsidRPr="008D59AC">
        <w:rPr>
          <w:lang w:val="en-GB"/>
        </w:rPr>
        <w:t>ium investor protection cluster</w:t>
      </w:r>
      <w:r w:rsidR="00D26594" w:rsidRPr="008D59AC">
        <w:rPr>
          <w:lang w:val="en-GB"/>
        </w:rPr>
        <w:t xml:space="preserve"> investors seem to value level 1 and 2 assets higher than l</w:t>
      </w:r>
      <w:r w:rsidR="00513566" w:rsidRPr="008D59AC">
        <w:rPr>
          <w:lang w:val="en-GB"/>
        </w:rPr>
        <w:t>evel 3 assets. Hence, in the</w:t>
      </w:r>
      <w:r w:rsidR="00D26594" w:rsidRPr="008D59AC">
        <w:rPr>
          <w:lang w:val="en-GB"/>
        </w:rPr>
        <w:t xml:space="preserve"> medium investor protection environments</w:t>
      </w:r>
      <w:r w:rsidR="00513566" w:rsidRPr="008D59AC">
        <w:rPr>
          <w:lang w:val="en-GB"/>
        </w:rPr>
        <w:t>, the investors</w:t>
      </w:r>
      <w:r w:rsidR="00D26594" w:rsidRPr="008D59AC">
        <w:rPr>
          <w:lang w:val="en-GB"/>
        </w:rPr>
        <w:t xml:space="preserve"> seem to be </w:t>
      </w:r>
      <w:r w:rsidR="008D59AC" w:rsidRPr="008D59AC">
        <w:rPr>
          <w:lang w:val="en-GB"/>
        </w:rPr>
        <w:t>sceptical</w:t>
      </w:r>
      <w:r w:rsidR="00D26594" w:rsidRPr="008D59AC">
        <w:rPr>
          <w:lang w:val="en-GB"/>
        </w:rPr>
        <w:t xml:space="preserve"> </w:t>
      </w:r>
      <w:r w:rsidR="00513566" w:rsidRPr="008D59AC">
        <w:rPr>
          <w:lang w:val="en-GB"/>
        </w:rPr>
        <w:t>towards</w:t>
      </w:r>
      <w:r w:rsidR="00D26594" w:rsidRPr="008D59AC">
        <w:rPr>
          <w:lang w:val="en-GB"/>
        </w:rPr>
        <w:t xml:space="preserve"> the in-house value estimation process of level 3 assets. Finally, </w:t>
      </w:r>
      <w:r w:rsidR="00AB0EE9" w:rsidRPr="008D59AC">
        <w:rPr>
          <w:lang w:val="en-GB"/>
        </w:rPr>
        <w:t xml:space="preserve">only level 1 fair value assets (market prices) </w:t>
      </w:r>
      <w:r w:rsidR="00D26594" w:rsidRPr="008D59AC">
        <w:rPr>
          <w:lang w:val="en-GB"/>
        </w:rPr>
        <w:t>are value relevant in the weak investor protection cluster of countries.</w:t>
      </w:r>
      <w:r w:rsidR="00AB0EE9" w:rsidRPr="008D59AC">
        <w:rPr>
          <w:lang w:val="en-GB"/>
        </w:rPr>
        <w:t xml:space="preserve"> Fair value estimates are not value relevant in the weak environment.</w:t>
      </w:r>
    </w:p>
    <w:p w:rsidR="00D26594" w:rsidRPr="008D59AC" w:rsidRDefault="00D26594" w:rsidP="00D26594">
      <w:pPr>
        <w:pStyle w:val="HBodyText"/>
        <w:rPr>
          <w:lang w:val="en-GB"/>
        </w:rPr>
      </w:pPr>
      <w:r w:rsidRPr="008D59AC">
        <w:rPr>
          <w:lang w:val="en-GB"/>
        </w:rPr>
        <w:t>The remainder of the paper is organized as follows: the following section reviews the literature on value relevance studies, mainly focusing on value relevance studies including fair value accounting or value relevance studies implementing an investor protection approach. The third section presents the sample, descriptive statistics, the investor protection variables included in the cluster analysis, and finally the research design of the study. Section 4 presents the results and the final section concludes the study.</w:t>
      </w:r>
    </w:p>
    <w:p w:rsidR="00D26594" w:rsidRPr="008D59AC" w:rsidRDefault="00D26594" w:rsidP="00D26594">
      <w:pPr>
        <w:pStyle w:val="HHead1"/>
        <w:rPr>
          <w:lang w:val="en-GB"/>
        </w:rPr>
      </w:pPr>
      <w:r w:rsidRPr="008D59AC">
        <w:rPr>
          <w:lang w:val="en-GB"/>
        </w:rPr>
        <w:t>background and previous research</w:t>
      </w:r>
    </w:p>
    <w:p w:rsidR="00285617" w:rsidRPr="008D59AC" w:rsidRDefault="00285617" w:rsidP="00D11E89">
      <w:pPr>
        <w:pStyle w:val="HBodyText"/>
        <w:rPr>
          <w:lang w:val="en-GB"/>
        </w:rPr>
      </w:pPr>
      <w:r w:rsidRPr="008D59AC">
        <w:rPr>
          <w:lang w:val="en-GB"/>
        </w:rPr>
        <w:t>The International Accounting Standards Board (IASB) mandated the new fair value requirements by adopting IFRS 13. IFRS 13 is a joint project between IASB and the Financial Accounting Standards Board’s (FASB). FASB mandated their equivalent Financial Accounting Standard No. 157 (SFAS 157) for fiscal periods beginning after November 15, 2007 (FASB</w:t>
      </w:r>
      <w:r w:rsidR="008923E8" w:rsidRPr="008D59AC">
        <w:rPr>
          <w:lang w:val="en-GB"/>
        </w:rPr>
        <w:t>,</w:t>
      </w:r>
      <w:r w:rsidRPr="008D59AC">
        <w:rPr>
          <w:lang w:val="en-GB"/>
        </w:rPr>
        <w:t xml:space="preserve"> 2006). Both standards require firms to disclose a fair value hierarchy. Based on the data used to measure fair value, the fair value hierarchy is as follows : Level 1 (quoted prices in active markets), level 2 (inputs other than quoted prices that are observable either directly or indirectly, or quoted market prices for similar assets or liabilities), and level 3 (unobservable inputs generated by entities) (IASB</w:t>
      </w:r>
      <w:r w:rsidR="008923E8" w:rsidRPr="008D59AC">
        <w:rPr>
          <w:lang w:val="en-GB"/>
        </w:rPr>
        <w:t>,</w:t>
      </w:r>
      <w:r w:rsidRPr="008D59AC">
        <w:rPr>
          <w:lang w:val="en-GB"/>
        </w:rPr>
        <w:t xml:space="preserve"> 2011). The information in the fair value </w:t>
      </w:r>
      <w:r w:rsidRPr="008D59AC">
        <w:rPr>
          <w:lang w:val="en-GB"/>
        </w:rPr>
        <w:lastRenderedPageBreak/>
        <w:t>hierarchy allows investors to acquire more transparent information about the amounts of the fair value assets and which valuation methods have been used for the specific amount of fair values (Goh et al., 2015).</w:t>
      </w:r>
    </w:p>
    <w:p w:rsidR="00D11E89" w:rsidRPr="008D59AC" w:rsidRDefault="00D11E89" w:rsidP="00D11E89">
      <w:pPr>
        <w:pStyle w:val="HBodyText"/>
        <w:rPr>
          <w:lang w:val="en-GB"/>
        </w:rPr>
      </w:pPr>
      <w:r w:rsidRPr="008D59AC">
        <w:rPr>
          <w:lang w:val="en-GB"/>
        </w:rPr>
        <w:t>The expanding use of fair value accounting in financial reporting has increased the attention of practitioners, academics, and standard setters, causing debate on the usefulness of fair values (Kolev, 2009). Standard setters and the majority of academics claim that fair value accounting provide the most relevant information for investors (e.g. Barth et al., 2001), while opposing academics (e.g. Wallison, 2008) and some practitioners (e.g. Isaac, 2008) blame fair value accounting for the recent financial crisis</w:t>
      </w:r>
      <w:r w:rsidR="00204555" w:rsidRPr="008D59AC">
        <w:rPr>
          <w:lang w:val="en-GB"/>
        </w:rPr>
        <w:t>.</w:t>
      </w:r>
      <w:r w:rsidRPr="008D59AC">
        <w:rPr>
          <w:rStyle w:val="FootnoteReference"/>
          <w:rFonts w:eastAsiaTheme="majorEastAsia"/>
          <w:lang w:val="en-GB"/>
        </w:rPr>
        <w:footnoteReference w:id="3"/>
      </w:r>
      <w:r w:rsidR="00204555" w:rsidRPr="008D59AC">
        <w:rPr>
          <w:lang w:val="en-GB"/>
        </w:rPr>
        <w:t xml:space="preserve"> Hence, there are both positive and negative effects from fair value accounting. On one hand, Fargher and Zhang (2014) find that managers use discretion allowed in fair value accounting to manage earnings that ultimately hurts investors. On the other hand, Baboukardos and Rimmel (2014) show that the discretion allowed in goodwill impairment (i.e. fair value accounting) helps managers to communicate relevant information to equity investors</w:t>
      </w:r>
    </w:p>
    <w:p w:rsidR="00D26594" w:rsidRPr="008D59AC" w:rsidRDefault="00D26594" w:rsidP="00D26594">
      <w:pPr>
        <w:pStyle w:val="HHead2"/>
        <w:rPr>
          <w:lang w:val="en-GB"/>
        </w:rPr>
      </w:pPr>
      <w:r w:rsidRPr="008D59AC">
        <w:rPr>
          <w:lang w:val="en-GB"/>
        </w:rPr>
        <w:t>Value relevance of the fair value hierarchy</w:t>
      </w:r>
    </w:p>
    <w:p w:rsidR="00D26594" w:rsidRPr="008D59AC" w:rsidRDefault="00D26594" w:rsidP="00D26594">
      <w:pPr>
        <w:pStyle w:val="HBodyText"/>
        <w:rPr>
          <w:lang w:val="en-GB"/>
        </w:rPr>
      </w:pPr>
      <w:r w:rsidRPr="008D59AC">
        <w:rPr>
          <w:lang w:val="en-GB"/>
        </w:rPr>
        <w:t>The value relevance of fair values under IFRS 13 has not yet been studied in an international setting. However, due to the adoption of SFAS 157 in year 2007 in the U.S. the effect of the fair value standard has been studied in some content using U.S</w:t>
      </w:r>
      <w:r w:rsidR="00E75037" w:rsidRPr="008D59AC">
        <w:rPr>
          <w:lang w:val="en-GB"/>
        </w:rPr>
        <w:t>.</w:t>
      </w:r>
      <w:r w:rsidRPr="008D59AC">
        <w:rPr>
          <w:lang w:val="en-GB"/>
        </w:rPr>
        <w:t xml:space="preserve"> data. First, Song et al. (2010) find that all fair values in the fair value hierarchy under SFAS 157 are value relevant to investors</w:t>
      </w:r>
      <w:r w:rsidR="00AC308D" w:rsidRPr="008D59AC">
        <w:rPr>
          <w:lang w:val="en-GB"/>
        </w:rPr>
        <w:t>. In addition</w:t>
      </w:r>
      <w:r w:rsidRPr="008D59AC">
        <w:rPr>
          <w:lang w:val="en-GB"/>
        </w:rPr>
        <w:t xml:space="preserve"> Song et al. (2010) </w:t>
      </w:r>
      <w:r w:rsidR="00AC308D" w:rsidRPr="008D59AC">
        <w:rPr>
          <w:lang w:val="en-GB"/>
        </w:rPr>
        <w:t xml:space="preserve">find </w:t>
      </w:r>
      <w:r w:rsidRPr="008D59AC">
        <w:rPr>
          <w:lang w:val="en-GB"/>
        </w:rPr>
        <w:t>that investors place less weight on level 3 fair value assets relative to level 1 and 2. Further, Goh et al. (2015) extend the study by Song et al. (2010) by increasin</w:t>
      </w:r>
      <w:r w:rsidR="00AC308D" w:rsidRPr="008D59AC">
        <w:rPr>
          <w:lang w:val="en-GB"/>
        </w:rPr>
        <w:t xml:space="preserve">g the time period of the study and they </w:t>
      </w:r>
      <w:r w:rsidRPr="008D59AC">
        <w:rPr>
          <w:lang w:val="en-GB"/>
        </w:rPr>
        <w:t>find that all fair values are value relevant</w:t>
      </w:r>
      <w:r w:rsidR="00120090" w:rsidRPr="008D59AC">
        <w:rPr>
          <w:lang w:val="en-GB"/>
        </w:rPr>
        <w:t>,</w:t>
      </w:r>
      <w:r w:rsidRPr="008D59AC">
        <w:rPr>
          <w:lang w:val="en-GB"/>
        </w:rPr>
        <w:t xml:space="preserve"> and that level 1 and 2 fair value assets are more value relevant than level 3 fair value assets</w:t>
      </w:r>
      <w:r w:rsidR="00AC308D" w:rsidRPr="008D59AC">
        <w:rPr>
          <w:lang w:val="en-GB"/>
        </w:rPr>
        <w:t>, indicating that the results of</w:t>
      </w:r>
      <w:r w:rsidRPr="008D59AC">
        <w:rPr>
          <w:lang w:val="en-GB"/>
        </w:rPr>
        <w:t xml:space="preserve"> Song et al. (2010) hold over time. In addition, Goh et al. (2015) show that the difference in value relevance between levels 1 and 3 decreases with time and the difference was most pronounced during the financial crisis of 2008.</w:t>
      </w:r>
      <w:r w:rsidRPr="008D59AC">
        <w:rPr>
          <w:rStyle w:val="FootnoteReference"/>
          <w:lang w:val="en-GB"/>
        </w:rPr>
        <w:footnoteReference w:id="4"/>
      </w:r>
      <w:r w:rsidRPr="008D59AC">
        <w:rPr>
          <w:lang w:val="en-GB"/>
        </w:rPr>
        <w:t xml:space="preserve"> Finally, Kolev (2009) </w:t>
      </w:r>
      <w:r w:rsidR="00AC308D" w:rsidRPr="008D59AC">
        <w:rPr>
          <w:lang w:val="en-GB"/>
        </w:rPr>
        <w:t>and</w:t>
      </w:r>
      <w:r w:rsidRPr="008D59AC">
        <w:rPr>
          <w:lang w:val="en-GB"/>
        </w:rPr>
        <w:t xml:space="preserve"> Lu and Mande (2014) document similar results, the value relevance of fair values decreases when descending in the fair value hierarchy from level 1 to level 3.</w:t>
      </w:r>
    </w:p>
    <w:p w:rsidR="00D26594" w:rsidRPr="008D59AC" w:rsidRDefault="00D26594" w:rsidP="00D26594">
      <w:pPr>
        <w:pStyle w:val="HBodyText"/>
        <w:rPr>
          <w:lang w:val="en-GB"/>
        </w:rPr>
      </w:pPr>
      <w:r w:rsidRPr="008D59AC">
        <w:rPr>
          <w:lang w:val="en-GB"/>
        </w:rPr>
        <w:t xml:space="preserve">All </w:t>
      </w:r>
      <w:r w:rsidR="00AC308D" w:rsidRPr="008D59AC">
        <w:rPr>
          <w:lang w:val="en-GB"/>
        </w:rPr>
        <w:t>studies examining the</w:t>
      </w:r>
      <w:r w:rsidRPr="008D59AC">
        <w:rPr>
          <w:lang w:val="en-GB"/>
        </w:rPr>
        <w:t xml:space="preserve"> value relevance </w:t>
      </w:r>
      <w:r w:rsidR="00AC308D" w:rsidRPr="008D59AC">
        <w:rPr>
          <w:lang w:val="en-GB"/>
        </w:rPr>
        <w:t>of fair values</w:t>
      </w:r>
      <w:r w:rsidRPr="008D59AC">
        <w:rPr>
          <w:lang w:val="en-GB"/>
        </w:rPr>
        <w:t xml:space="preserve"> under SFAS 157 find that the information in the fair value hierarchy is value relevant and also that the relevance decreases when descending in </w:t>
      </w:r>
      <w:r w:rsidRPr="008D59AC">
        <w:rPr>
          <w:lang w:val="en-GB"/>
        </w:rPr>
        <w:lastRenderedPageBreak/>
        <w:t xml:space="preserve">the hierarchy. Even though the </w:t>
      </w:r>
      <w:r w:rsidR="00E75037" w:rsidRPr="008D59AC">
        <w:rPr>
          <w:lang w:val="en-GB"/>
        </w:rPr>
        <w:t>discussed</w:t>
      </w:r>
      <w:r w:rsidRPr="008D59AC">
        <w:rPr>
          <w:lang w:val="en-GB"/>
        </w:rPr>
        <w:t xml:space="preserve"> papers </w:t>
      </w:r>
      <w:r w:rsidR="008D59AC" w:rsidRPr="008D59AC">
        <w:rPr>
          <w:lang w:val="en-GB"/>
        </w:rPr>
        <w:t>analyse</w:t>
      </w:r>
      <w:r w:rsidRPr="008D59AC">
        <w:rPr>
          <w:lang w:val="en-GB"/>
        </w:rPr>
        <w:t xml:space="preserve"> the value relevance of fair values in an U.S</w:t>
      </w:r>
      <w:r w:rsidR="00E75037" w:rsidRPr="008D59AC">
        <w:rPr>
          <w:lang w:val="en-GB"/>
        </w:rPr>
        <w:t>.</w:t>
      </w:r>
      <w:r w:rsidRPr="008D59AC">
        <w:rPr>
          <w:lang w:val="en-GB"/>
        </w:rPr>
        <w:t xml:space="preserve"> setting, it can be expected that the results hold for an international sample</w:t>
      </w:r>
      <w:r w:rsidR="00AC308D" w:rsidRPr="008D59AC">
        <w:rPr>
          <w:lang w:val="en-GB"/>
        </w:rPr>
        <w:t>. However, the results are not expected</w:t>
      </w:r>
      <w:r w:rsidRPr="008D59AC">
        <w:rPr>
          <w:lang w:val="en-GB"/>
        </w:rPr>
        <w:t xml:space="preserve"> to be exactly similar to the previously presented findings</w:t>
      </w:r>
      <w:r w:rsidR="00AC308D" w:rsidRPr="008D59AC">
        <w:rPr>
          <w:lang w:val="en-GB"/>
        </w:rPr>
        <w:t>, as previous studies show that the value relevance of book values varies across jurisdictions (e.g. DeFond et al.</w:t>
      </w:r>
      <w:r w:rsidR="00892CAA" w:rsidRPr="008D59AC">
        <w:rPr>
          <w:lang w:val="en-GB"/>
        </w:rPr>
        <w:t>,</w:t>
      </w:r>
      <w:r w:rsidR="00AC308D" w:rsidRPr="008D59AC">
        <w:rPr>
          <w:lang w:val="en-GB"/>
        </w:rPr>
        <w:t xml:space="preserve"> 2007)</w:t>
      </w:r>
      <w:r w:rsidRPr="008D59AC">
        <w:rPr>
          <w:lang w:val="en-GB"/>
        </w:rPr>
        <w:t>. Taken the findings of Song et al. (2010), Goh et al. (2015), Kolev (2009), and Lu and Mende (2014) together the first hypothesis is as follows:</w:t>
      </w:r>
    </w:p>
    <w:p w:rsidR="00D26594" w:rsidRPr="008D59AC" w:rsidRDefault="00D26594" w:rsidP="00D26594">
      <w:pPr>
        <w:pStyle w:val="HBodyText"/>
        <w:tabs>
          <w:tab w:val="left" w:pos="426"/>
        </w:tabs>
        <w:ind w:left="426" w:hanging="426"/>
        <w:rPr>
          <w:lang w:val="en-GB"/>
        </w:rPr>
      </w:pPr>
      <w:r w:rsidRPr="008D59AC">
        <w:rPr>
          <w:lang w:val="en-GB"/>
        </w:rPr>
        <w:t>H1: The value relevance of fair values decreases when descending in the fair value hierarchy from level 1 towards level 3.</w:t>
      </w:r>
    </w:p>
    <w:p w:rsidR="00D26594" w:rsidRPr="008D59AC" w:rsidRDefault="00D26594" w:rsidP="00D26594">
      <w:pPr>
        <w:pStyle w:val="HHead2"/>
        <w:rPr>
          <w:lang w:val="en-GB"/>
        </w:rPr>
      </w:pPr>
      <w:r w:rsidRPr="008D59AC">
        <w:rPr>
          <w:lang w:val="en-GB"/>
        </w:rPr>
        <w:t>Value relevance and investor protection</w:t>
      </w:r>
    </w:p>
    <w:p w:rsidR="00F15D75" w:rsidRPr="008D59AC" w:rsidRDefault="00F15D75" w:rsidP="00F15D75">
      <w:pPr>
        <w:pStyle w:val="HBodyText"/>
        <w:rPr>
          <w:lang w:val="en-GB"/>
        </w:rPr>
      </w:pPr>
      <w:r w:rsidRPr="008D59AC">
        <w:rPr>
          <w:lang w:val="en-GB"/>
        </w:rPr>
        <w:t>Investor protection has been measured with several different variables depending on the study.  Houqe et al. (2012) defined six investor protection variables: board independence, enforcement of securities laws, protection of minority shareholders rights, enforcement of accounting and auditing standards, judicial independence, and freedom of press. Gul et al. (2013) uses the factor score from a principal component analysis of four variables as a proxy for investor protection. Cahan et al. (2009) approximates the investor protection with the following variables: anti-director rights score, efficiency of judicial system, rule of law, corruption, information opaqueness, timeliness of financial disclosure, and number of analysts following. DeFond et al. (2007) uses insider trading enforcement, interim reporting frequency, financial disclosure, antidirector rights, and law enforcement as proxies for investor protection.</w:t>
      </w:r>
    </w:p>
    <w:p w:rsidR="00D26594" w:rsidRPr="008D59AC" w:rsidRDefault="00D26594" w:rsidP="00D26594">
      <w:pPr>
        <w:jc w:val="both"/>
        <w:rPr>
          <w:lang w:val="en-GB"/>
        </w:rPr>
      </w:pPr>
      <w:r w:rsidRPr="008D59AC">
        <w:rPr>
          <w:lang w:val="en-GB"/>
        </w:rPr>
        <w:t>It is assumed that stron</w:t>
      </w:r>
      <w:r w:rsidR="00C91219" w:rsidRPr="008D59AC">
        <w:rPr>
          <w:lang w:val="en-GB"/>
        </w:rPr>
        <w:t xml:space="preserve">ger investor protection </w:t>
      </w:r>
      <w:r w:rsidR="00F15D75" w:rsidRPr="008D59AC">
        <w:rPr>
          <w:lang w:val="en-GB"/>
        </w:rPr>
        <w:t>causes</w:t>
      </w:r>
      <w:r w:rsidRPr="008D59AC">
        <w:rPr>
          <w:lang w:val="en-GB"/>
        </w:rPr>
        <w:t xml:space="preserve"> higher value relevance of fina</w:t>
      </w:r>
      <w:r w:rsidR="00A07E5E" w:rsidRPr="008D59AC">
        <w:rPr>
          <w:lang w:val="en-GB"/>
        </w:rPr>
        <w:t>ncial statements (DeFond et al.</w:t>
      </w:r>
      <w:r w:rsidR="00892CAA" w:rsidRPr="008D59AC">
        <w:rPr>
          <w:lang w:val="en-GB"/>
        </w:rPr>
        <w:t>,</w:t>
      </w:r>
      <w:r w:rsidRPr="008D59AC">
        <w:rPr>
          <w:lang w:val="en-GB"/>
        </w:rPr>
        <w:t xml:space="preserve"> 2007). Still, how investor protection can affect the value relevance of fair values in the fair value hierarchy under IFRS 13 has not yet been studied. Despite the lack of similar studies, some studies have investigated the relationship between investor protection and value relevance of accounting numbers more generally</w:t>
      </w:r>
      <w:r w:rsidR="008D59AC">
        <w:rPr>
          <w:lang w:val="en-GB"/>
        </w:rPr>
        <w:t>. By analys</w:t>
      </w:r>
      <w:r w:rsidRPr="008D59AC">
        <w:rPr>
          <w:lang w:val="en-GB"/>
        </w:rPr>
        <w:t xml:space="preserve">ing the association between accounting numbers and stock returns, Cahan et al. (2009) find a stronger relationship between earnings quality and the value relevance of earnings in countries with high investor protection. Furthermore, </w:t>
      </w:r>
      <w:r w:rsidR="00DC2DB9" w:rsidRPr="008D59AC">
        <w:rPr>
          <w:lang w:val="en-GB"/>
        </w:rPr>
        <w:t>firms</w:t>
      </w:r>
      <w:r w:rsidRPr="008D59AC">
        <w:rPr>
          <w:lang w:val="en-GB"/>
        </w:rPr>
        <w:t xml:space="preserve"> from countries with stronger investor protection have higher</w:t>
      </w:r>
      <w:r w:rsidR="00C91219" w:rsidRPr="008D59AC">
        <w:rPr>
          <w:lang w:val="en-GB"/>
        </w:rPr>
        <w:t xml:space="preserve"> </w:t>
      </w:r>
      <w:r w:rsidRPr="008D59AC">
        <w:rPr>
          <w:lang w:val="en-GB"/>
        </w:rPr>
        <w:t>quality of accounting earnings (Houq</w:t>
      </w:r>
      <w:r w:rsidR="00A07E5E" w:rsidRPr="008D59AC">
        <w:rPr>
          <w:lang w:val="en-GB"/>
        </w:rPr>
        <w:t>e et al.</w:t>
      </w:r>
      <w:r w:rsidR="00892CAA" w:rsidRPr="008D59AC">
        <w:rPr>
          <w:lang w:val="en-GB"/>
        </w:rPr>
        <w:t>,</w:t>
      </w:r>
      <w:r w:rsidRPr="008D59AC">
        <w:rPr>
          <w:lang w:val="en-GB"/>
        </w:rPr>
        <w:t xml:space="preserve"> 2012; Leuz et al.</w:t>
      </w:r>
      <w:r w:rsidR="00892CAA" w:rsidRPr="008D59AC">
        <w:rPr>
          <w:lang w:val="en-GB"/>
        </w:rPr>
        <w:t>,</w:t>
      </w:r>
      <w:r w:rsidRPr="008D59AC">
        <w:rPr>
          <w:lang w:val="en-GB"/>
        </w:rPr>
        <w:t xml:space="preserve"> 2003). Houqe et al. (2012) and Leuz et al. (2003) </w:t>
      </w:r>
      <w:r w:rsidR="00A07E51" w:rsidRPr="008D59AC">
        <w:rPr>
          <w:lang w:val="en-GB"/>
        </w:rPr>
        <w:t xml:space="preserve">examine </w:t>
      </w:r>
      <w:r w:rsidRPr="008D59AC">
        <w:rPr>
          <w:lang w:val="en-GB"/>
        </w:rPr>
        <w:t xml:space="preserve">how investor protection variables affect discretionary accruals of a </w:t>
      </w:r>
      <w:r w:rsidR="00DC2DB9" w:rsidRPr="008D59AC">
        <w:rPr>
          <w:lang w:val="en-GB"/>
        </w:rPr>
        <w:t>firm</w:t>
      </w:r>
      <w:r w:rsidRPr="008D59AC">
        <w:rPr>
          <w:lang w:val="en-GB"/>
        </w:rPr>
        <w:t>. Gul et al. (2013) show that cost of debt is negatively associated with investor protection, implying that firms from countries with a stronger investor protection have higher information quality. Additionally,</w:t>
      </w:r>
      <w:r w:rsidR="00A07E51" w:rsidRPr="008D59AC">
        <w:rPr>
          <w:lang w:val="en-GB"/>
        </w:rPr>
        <w:t xml:space="preserve"> Francis and </w:t>
      </w:r>
      <w:r w:rsidR="003A7712" w:rsidRPr="008D59AC">
        <w:rPr>
          <w:lang w:val="en-GB"/>
        </w:rPr>
        <w:t xml:space="preserve">Wang (2008) </w:t>
      </w:r>
      <w:r w:rsidR="00A07E51" w:rsidRPr="008D59AC">
        <w:rPr>
          <w:lang w:val="en-GB"/>
        </w:rPr>
        <w:t xml:space="preserve">report that </w:t>
      </w:r>
      <w:r w:rsidRPr="008D59AC">
        <w:rPr>
          <w:lang w:val="en-GB"/>
        </w:rPr>
        <w:t xml:space="preserve">earnings quality is higher </w:t>
      </w:r>
      <w:r w:rsidR="00A07E51" w:rsidRPr="008D59AC">
        <w:rPr>
          <w:lang w:val="en-GB"/>
        </w:rPr>
        <w:lastRenderedPageBreak/>
        <w:t>in countries from stronger investor protection environments</w:t>
      </w:r>
      <w:r w:rsidR="003A7712" w:rsidRPr="008D59AC">
        <w:rPr>
          <w:lang w:val="en-GB"/>
        </w:rPr>
        <w:t>, but only if the</w:t>
      </w:r>
      <w:r w:rsidRPr="008D59AC">
        <w:rPr>
          <w:lang w:val="en-GB"/>
        </w:rPr>
        <w:t xml:space="preserve"> firm is audited by a Big 4 auditor. </w:t>
      </w:r>
      <w:r w:rsidR="00A07E51" w:rsidRPr="008D59AC">
        <w:rPr>
          <w:lang w:val="en-GB"/>
        </w:rPr>
        <w:t>Consequently,</w:t>
      </w:r>
      <w:r w:rsidRPr="008D59AC">
        <w:rPr>
          <w:lang w:val="en-GB"/>
        </w:rPr>
        <w:t xml:space="preserve"> countries with stronger investor protection</w:t>
      </w:r>
      <w:r w:rsidR="00A07E51" w:rsidRPr="008D59AC">
        <w:rPr>
          <w:lang w:val="en-GB"/>
        </w:rPr>
        <w:t xml:space="preserve"> seem to</w:t>
      </w:r>
      <w:r w:rsidRPr="008D59AC">
        <w:rPr>
          <w:lang w:val="en-GB"/>
        </w:rPr>
        <w:t xml:space="preserve"> have higher value relevance of accounting numbers, less earnings management, and higher overall information quality.</w:t>
      </w:r>
    </w:p>
    <w:p w:rsidR="00D26594" w:rsidRPr="008D59AC" w:rsidRDefault="00D26594" w:rsidP="00D26594">
      <w:pPr>
        <w:pStyle w:val="HBodyText"/>
        <w:rPr>
          <w:lang w:val="en-GB"/>
        </w:rPr>
      </w:pPr>
      <w:r w:rsidRPr="008D59AC">
        <w:rPr>
          <w:lang w:val="en-GB"/>
        </w:rPr>
        <w:t xml:space="preserve">Based on </w:t>
      </w:r>
      <w:r w:rsidR="00F15D75" w:rsidRPr="008D59AC">
        <w:rPr>
          <w:lang w:val="en-GB"/>
        </w:rPr>
        <w:t>prior research</w:t>
      </w:r>
      <w:r w:rsidRPr="008D59AC">
        <w:rPr>
          <w:lang w:val="en-GB"/>
        </w:rPr>
        <w:t xml:space="preserve">, the information quality seems to be positively associated with investor protection. Firms from countries with a strong investor protection environment have higher value relevance of accounting numbers than firms from countries with a weak investor protection environment. Further, investor protection seems to limit the managers’ opportunistic </w:t>
      </w:r>
      <w:r w:rsidR="008D59AC" w:rsidRPr="008D59AC">
        <w:rPr>
          <w:lang w:val="en-GB"/>
        </w:rPr>
        <w:t>behaviour</w:t>
      </w:r>
      <w:r w:rsidRPr="008D59AC">
        <w:rPr>
          <w:lang w:val="en-GB"/>
        </w:rPr>
        <w:t xml:space="preserve"> (Leuz et al. 2003). Hence, it can be assumed that</w:t>
      </w:r>
      <w:r w:rsidR="00D05E49" w:rsidRPr="008D59AC">
        <w:rPr>
          <w:lang w:val="en-GB"/>
        </w:rPr>
        <w:t xml:space="preserve"> firms from</w:t>
      </w:r>
      <w:r w:rsidRPr="008D59AC">
        <w:rPr>
          <w:lang w:val="en-GB"/>
        </w:rPr>
        <w:t xml:space="preserve"> strong investor protection</w:t>
      </w:r>
      <w:r w:rsidR="00D05E49" w:rsidRPr="008D59AC">
        <w:rPr>
          <w:lang w:val="en-GB"/>
        </w:rPr>
        <w:t xml:space="preserve"> environments</w:t>
      </w:r>
      <w:r w:rsidRPr="008D59AC">
        <w:rPr>
          <w:lang w:val="en-GB"/>
        </w:rPr>
        <w:t xml:space="preserve"> do not </w:t>
      </w:r>
      <w:r w:rsidR="001340DA" w:rsidRPr="008D59AC">
        <w:rPr>
          <w:lang w:val="en-GB"/>
        </w:rPr>
        <w:t xml:space="preserve">extensively </w:t>
      </w:r>
      <w:r w:rsidRPr="008D59AC">
        <w:rPr>
          <w:lang w:val="en-GB"/>
        </w:rPr>
        <w:t>misuse accounting</w:t>
      </w:r>
      <w:r w:rsidR="00D73B7C" w:rsidRPr="008D59AC">
        <w:rPr>
          <w:lang w:val="en-GB"/>
        </w:rPr>
        <w:t xml:space="preserve"> discretion and hence disclose</w:t>
      </w:r>
      <w:r w:rsidRPr="008D59AC">
        <w:rPr>
          <w:lang w:val="en-GB"/>
        </w:rPr>
        <w:t xml:space="preserve"> value </w:t>
      </w:r>
      <w:r w:rsidR="003C5E31" w:rsidRPr="008D59AC">
        <w:rPr>
          <w:lang w:val="en-GB"/>
        </w:rPr>
        <w:t>relevant fair value estimates (l</w:t>
      </w:r>
      <w:r w:rsidRPr="008D59AC">
        <w:rPr>
          <w:lang w:val="en-GB"/>
        </w:rPr>
        <w:t xml:space="preserve">evel 3). However, in weaker investor protection environments the incentives for opportunistic </w:t>
      </w:r>
      <w:r w:rsidR="008D59AC" w:rsidRPr="008D59AC">
        <w:rPr>
          <w:lang w:val="en-GB"/>
        </w:rPr>
        <w:t>behaviour</w:t>
      </w:r>
      <w:r w:rsidRPr="008D59AC">
        <w:rPr>
          <w:lang w:val="en-GB"/>
        </w:rPr>
        <w:t xml:space="preserve"> are higher</w:t>
      </w:r>
      <w:r w:rsidR="00A32BEA" w:rsidRPr="008D59AC">
        <w:rPr>
          <w:lang w:val="en-GB"/>
        </w:rPr>
        <w:t xml:space="preserve"> (Leuz et al., 2003)</w:t>
      </w:r>
      <w:r w:rsidRPr="008D59AC">
        <w:rPr>
          <w:lang w:val="en-GB"/>
        </w:rPr>
        <w:t>, which introduces information risk into the fair value estimates. Thus, it can be arg</w:t>
      </w:r>
      <w:r w:rsidR="003C5E31" w:rsidRPr="008D59AC">
        <w:rPr>
          <w:lang w:val="en-GB"/>
        </w:rPr>
        <w:t>ued that fair value estimates (l</w:t>
      </w:r>
      <w:r w:rsidRPr="008D59AC">
        <w:rPr>
          <w:lang w:val="en-GB"/>
        </w:rPr>
        <w:t>evel 3) are not as va</w:t>
      </w:r>
      <w:r w:rsidR="003C5E31" w:rsidRPr="008D59AC">
        <w:rPr>
          <w:lang w:val="en-GB"/>
        </w:rPr>
        <w:t>lue relevant as market values (l</w:t>
      </w:r>
      <w:r w:rsidRPr="008D59AC">
        <w:rPr>
          <w:lang w:val="en-GB"/>
        </w:rPr>
        <w:t>evel 1) in weaker investor protection environments. This leads to the second hypothesis:</w:t>
      </w:r>
    </w:p>
    <w:p w:rsidR="00D26594" w:rsidRPr="008D59AC" w:rsidRDefault="00D26594" w:rsidP="00D26594">
      <w:pPr>
        <w:pStyle w:val="HBodyText"/>
        <w:ind w:left="426" w:hanging="426"/>
        <w:rPr>
          <w:lang w:val="en-GB"/>
        </w:rPr>
      </w:pPr>
      <w:r w:rsidRPr="008D59AC">
        <w:rPr>
          <w:lang w:val="en-GB"/>
        </w:rPr>
        <w:t xml:space="preserve">H2: The difference in the value relevance between levels 1 to 3 is decreasing with the quality of the investor protection environment.  </w:t>
      </w:r>
    </w:p>
    <w:p w:rsidR="003D3CAB" w:rsidRPr="008D59AC" w:rsidRDefault="00C31111" w:rsidP="003D3CAB">
      <w:pPr>
        <w:pStyle w:val="HHead1"/>
        <w:rPr>
          <w:lang w:val="en-GB"/>
        </w:rPr>
      </w:pPr>
      <w:r w:rsidRPr="008D59AC">
        <w:rPr>
          <w:lang w:val="en-GB"/>
        </w:rPr>
        <w:t>data and research design</w:t>
      </w:r>
    </w:p>
    <w:p w:rsidR="003D3CAB" w:rsidRPr="008D59AC" w:rsidRDefault="00C817CD" w:rsidP="00C817CD">
      <w:pPr>
        <w:pStyle w:val="HHead2"/>
        <w:rPr>
          <w:lang w:val="en-GB"/>
        </w:rPr>
      </w:pPr>
      <w:r w:rsidRPr="008D59AC">
        <w:rPr>
          <w:lang w:val="en-GB"/>
        </w:rPr>
        <w:t>Sample</w:t>
      </w:r>
    </w:p>
    <w:p w:rsidR="0095760B" w:rsidRPr="008D59AC" w:rsidRDefault="00324E51" w:rsidP="0095760B">
      <w:pPr>
        <w:pStyle w:val="HBodyText"/>
        <w:rPr>
          <w:lang w:val="en-GB"/>
        </w:rPr>
      </w:pPr>
      <w:r w:rsidRPr="008D59AC">
        <w:rPr>
          <w:lang w:val="en-GB"/>
        </w:rPr>
        <w:t xml:space="preserve">The data has been </w:t>
      </w:r>
      <w:r w:rsidR="00950BFF" w:rsidRPr="008D59AC">
        <w:rPr>
          <w:lang w:val="en-GB"/>
        </w:rPr>
        <w:t xml:space="preserve">collected </w:t>
      </w:r>
      <w:r w:rsidRPr="008D59AC">
        <w:rPr>
          <w:lang w:val="en-GB"/>
        </w:rPr>
        <w:t>from annual report</w:t>
      </w:r>
      <w:r w:rsidR="000F5E4B" w:rsidRPr="008D59AC">
        <w:rPr>
          <w:lang w:val="en-GB"/>
        </w:rPr>
        <w:t>s</w:t>
      </w:r>
      <w:r w:rsidR="009705FF" w:rsidRPr="008D59AC">
        <w:rPr>
          <w:lang w:val="en-GB"/>
        </w:rPr>
        <w:t xml:space="preserve"> </w:t>
      </w:r>
      <w:r w:rsidR="002D3913" w:rsidRPr="008D59AC">
        <w:rPr>
          <w:lang w:val="en-GB"/>
        </w:rPr>
        <w:t>(years 2012-2014)</w:t>
      </w:r>
      <w:r w:rsidR="00AF7100" w:rsidRPr="008D59AC">
        <w:rPr>
          <w:lang w:val="en-GB"/>
        </w:rPr>
        <w:t xml:space="preserve"> and Thomson databases </w:t>
      </w:r>
      <w:r w:rsidRPr="008D59AC">
        <w:rPr>
          <w:lang w:val="en-GB"/>
        </w:rPr>
        <w:t>in order to generate a unique data set suitable for this study. The amount of fair values per level in the fair value hierarchy</w:t>
      </w:r>
      <w:r w:rsidR="00CC6771" w:rsidRPr="008D59AC">
        <w:rPr>
          <w:lang w:val="en-GB"/>
        </w:rPr>
        <w:t xml:space="preserve"> as well as total assets and total liabilities are</w:t>
      </w:r>
      <w:r w:rsidRPr="008D59AC">
        <w:rPr>
          <w:lang w:val="en-GB"/>
        </w:rPr>
        <w:t xml:space="preserve"> </w:t>
      </w:r>
      <w:r w:rsidR="00950BFF" w:rsidRPr="008D59AC">
        <w:rPr>
          <w:lang w:val="en-GB"/>
        </w:rPr>
        <w:t>hand-</w:t>
      </w:r>
      <w:r w:rsidRPr="008D59AC">
        <w:rPr>
          <w:lang w:val="en-GB"/>
        </w:rPr>
        <w:t xml:space="preserve">collected from </w:t>
      </w:r>
      <w:r w:rsidR="00DC2DB9" w:rsidRPr="008D59AC">
        <w:rPr>
          <w:lang w:val="en-GB"/>
        </w:rPr>
        <w:t>firms</w:t>
      </w:r>
      <w:r w:rsidRPr="008D59AC">
        <w:rPr>
          <w:lang w:val="en-GB"/>
        </w:rPr>
        <w:t xml:space="preserve">’ annual reports. The </w:t>
      </w:r>
      <w:r w:rsidR="005336A8" w:rsidRPr="008D59AC">
        <w:rPr>
          <w:lang w:val="en-GB"/>
        </w:rPr>
        <w:t xml:space="preserve">fair values </w:t>
      </w:r>
      <w:r w:rsidRPr="008D59AC">
        <w:rPr>
          <w:lang w:val="en-GB"/>
        </w:rPr>
        <w:t>can be regarded as comparable as the vast majority presents a comprehensible fair value hierarchy similar to the fair value h</w:t>
      </w:r>
      <w:r w:rsidR="00EA5635" w:rsidRPr="008D59AC">
        <w:rPr>
          <w:lang w:val="en-GB"/>
        </w:rPr>
        <w:t>ierarchy presented in Appendix A</w:t>
      </w:r>
      <w:r w:rsidRPr="008D59AC">
        <w:rPr>
          <w:lang w:val="en-GB"/>
        </w:rPr>
        <w:t xml:space="preserve">. </w:t>
      </w:r>
      <w:r w:rsidR="00DC2DB9" w:rsidRPr="008D59AC">
        <w:rPr>
          <w:lang w:val="en-GB"/>
        </w:rPr>
        <w:t>Firm-</w:t>
      </w:r>
      <w:r w:rsidR="00CC6771" w:rsidRPr="008D59AC">
        <w:rPr>
          <w:lang w:val="en-GB"/>
        </w:rPr>
        <w:t>specific data such as earnings per share, share price, and shares outstanding are fr</w:t>
      </w:r>
      <w:r w:rsidR="00F56ABC" w:rsidRPr="008D59AC">
        <w:rPr>
          <w:lang w:val="en-GB"/>
        </w:rPr>
        <w:t>om Thomson</w:t>
      </w:r>
      <w:r w:rsidR="00AF7100" w:rsidRPr="008D59AC">
        <w:rPr>
          <w:lang w:val="en-GB"/>
        </w:rPr>
        <w:t xml:space="preserve"> databases. Additionally, the in</w:t>
      </w:r>
      <w:r w:rsidR="00950BFF" w:rsidRPr="008D59AC">
        <w:rPr>
          <w:lang w:val="en-GB"/>
        </w:rPr>
        <w:t xml:space="preserve">vestor protection variables are </w:t>
      </w:r>
      <w:r w:rsidR="00AF7100" w:rsidRPr="008D59AC">
        <w:rPr>
          <w:lang w:val="en-GB"/>
        </w:rPr>
        <w:t>from the World Economic Forum financial development report (2012) and from Kaufmann et al. (2009).</w:t>
      </w:r>
    </w:p>
    <w:p w:rsidR="00C3308D" w:rsidRPr="008D59AC" w:rsidRDefault="007A261B" w:rsidP="00C817CD">
      <w:pPr>
        <w:pStyle w:val="HBodyText"/>
        <w:rPr>
          <w:lang w:val="en-GB"/>
        </w:rPr>
      </w:pPr>
      <w:r w:rsidRPr="008D59AC">
        <w:rPr>
          <w:lang w:val="en-GB"/>
        </w:rPr>
        <w:t>The</w:t>
      </w:r>
      <w:r w:rsidR="007A3E0C" w:rsidRPr="008D59AC">
        <w:rPr>
          <w:lang w:val="en-GB"/>
        </w:rPr>
        <w:t xml:space="preserve"> initia</w:t>
      </w:r>
      <w:r w:rsidR="00C04B78" w:rsidRPr="008D59AC">
        <w:rPr>
          <w:lang w:val="en-GB"/>
        </w:rPr>
        <w:t>l</w:t>
      </w:r>
      <w:r w:rsidRPr="008D59AC">
        <w:rPr>
          <w:lang w:val="en-GB"/>
        </w:rPr>
        <w:t xml:space="preserve"> sample consists of</w:t>
      </w:r>
      <w:r w:rsidR="00AD0412" w:rsidRPr="008D59AC">
        <w:rPr>
          <w:lang w:val="en-GB"/>
        </w:rPr>
        <w:t xml:space="preserve"> 1</w:t>
      </w:r>
      <w:r w:rsidR="00D6623C" w:rsidRPr="008D59AC">
        <w:rPr>
          <w:lang w:val="en-GB"/>
        </w:rPr>
        <w:t>280</w:t>
      </w:r>
      <w:r w:rsidR="00525B36" w:rsidRPr="008D59AC">
        <w:rPr>
          <w:lang w:val="en-GB"/>
        </w:rPr>
        <w:t xml:space="preserve"> listed</w:t>
      </w:r>
      <w:r w:rsidR="00EE64C7" w:rsidRPr="008D59AC">
        <w:rPr>
          <w:lang w:val="en-GB"/>
        </w:rPr>
        <w:t xml:space="preserve"> unique</w:t>
      </w:r>
      <w:r w:rsidR="00D6623C" w:rsidRPr="008D59AC">
        <w:rPr>
          <w:lang w:val="en-GB"/>
        </w:rPr>
        <w:t xml:space="preserve"> </w:t>
      </w:r>
      <w:r w:rsidR="00525B36" w:rsidRPr="008D59AC">
        <w:rPr>
          <w:lang w:val="en-GB"/>
        </w:rPr>
        <w:t xml:space="preserve">financial </w:t>
      </w:r>
      <w:r w:rsidR="00DC2DB9" w:rsidRPr="008D59AC">
        <w:rPr>
          <w:lang w:val="en-GB"/>
        </w:rPr>
        <w:t>firms</w:t>
      </w:r>
      <w:r w:rsidRPr="008D59AC">
        <w:rPr>
          <w:lang w:val="en-GB"/>
        </w:rPr>
        <w:t xml:space="preserve"> from </w:t>
      </w:r>
      <w:r w:rsidR="008B1837" w:rsidRPr="008D59AC">
        <w:rPr>
          <w:lang w:val="en-GB"/>
        </w:rPr>
        <w:t>42</w:t>
      </w:r>
      <w:r w:rsidR="00AF7100" w:rsidRPr="008D59AC">
        <w:rPr>
          <w:lang w:val="en-GB"/>
        </w:rPr>
        <w:t xml:space="preserve"> countries which have mandatorily adopted IFRS</w:t>
      </w:r>
      <w:r w:rsidR="007E6E58" w:rsidRPr="008D59AC">
        <w:rPr>
          <w:lang w:val="en-GB"/>
        </w:rPr>
        <w:t>.</w:t>
      </w:r>
      <w:r w:rsidR="00EE64C7" w:rsidRPr="008D59AC">
        <w:rPr>
          <w:lang w:val="en-GB"/>
        </w:rPr>
        <w:t xml:space="preserve"> The firms have to be listed and traded in at least one of the included years (2012-2014).</w:t>
      </w:r>
      <w:r w:rsidR="00AF7100" w:rsidRPr="008D59AC">
        <w:rPr>
          <w:lang w:val="en-GB"/>
        </w:rPr>
        <w:t xml:space="preserve"> For the purpose of the study all IFRS countries that have investor protection data available in both the World Economic Forum financial development report (2012) and in Kaufmann et al. (2009) are included in the study. </w:t>
      </w:r>
      <w:r w:rsidR="00F51E4D" w:rsidRPr="008D59AC">
        <w:rPr>
          <w:lang w:val="en-GB"/>
        </w:rPr>
        <w:t>Following prior research (Song et al.</w:t>
      </w:r>
      <w:r w:rsidR="00892CAA" w:rsidRPr="008D59AC">
        <w:rPr>
          <w:lang w:val="en-GB"/>
        </w:rPr>
        <w:t>,</w:t>
      </w:r>
      <w:r w:rsidR="00F51E4D" w:rsidRPr="008D59AC">
        <w:rPr>
          <w:lang w:val="en-GB"/>
        </w:rPr>
        <w:t xml:space="preserve"> 201</w:t>
      </w:r>
      <w:r w:rsidR="00F35BD5" w:rsidRPr="008D59AC">
        <w:rPr>
          <w:lang w:val="en-GB"/>
        </w:rPr>
        <w:t xml:space="preserve">0; Kolev, 2009; Goh </w:t>
      </w:r>
      <w:r w:rsidR="00A07E5E" w:rsidRPr="008D59AC">
        <w:rPr>
          <w:lang w:val="en-GB"/>
        </w:rPr>
        <w:t xml:space="preserve">et </w:t>
      </w:r>
      <w:r w:rsidR="00A07E5E" w:rsidRPr="008D59AC">
        <w:rPr>
          <w:lang w:val="en-GB"/>
        </w:rPr>
        <w:lastRenderedPageBreak/>
        <w:t>al.</w:t>
      </w:r>
      <w:r w:rsidR="00892CAA" w:rsidRPr="008D59AC">
        <w:rPr>
          <w:lang w:val="en-GB"/>
        </w:rPr>
        <w:t>,</w:t>
      </w:r>
      <w:r w:rsidR="00765B24" w:rsidRPr="008D59AC">
        <w:rPr>
          <w:lang w:val="en-GB"/>
        </w:rPr>
        <w:t xml:space="preserve"> 2015</w:t>
      </w:r>
      <w:r w:rsidR="00F51E4D" w:rsidRPr="008D59AC">
        <w:rPr>
          <w:lang w:val="en-GB"/>
        </w:rPr>
        <w:t>)</w:t>
      </w:r>
      <w:r w:rsidR="00950BFF" w:rsidRPr="008D59AC">
        <w:rPr>
          <w:lang w:val="en-GB"/>
        </w:rPr>
        <w:t>, this paper uses</w:t>
      </w:r>
      <w:r w:rsidR="00F51E4D" w:rsidRPr="008D59AC">
        <w:rPr>
          <w:lang w:val="en-GB"/>
        </w:rPr>
        <w:t xml:space="preserve"> financial </w:t>
      </w:r>
      <w:r w:rsidR="00DC2DB9" w:rsidRPr="008D59AC">
        <w:rPr>
          <w:lang w:val="en-GB"/>
        </w:rPr>
        <w:t>firms</w:t>
      </w:r>
      <w:r w:rsidR="00A07E5E" w:rsidRPr="008D59AC">
        <w:rPr>
          <w:lang w:val="en-GB"/>
        </w:rPr>
        <w:t xml:space="preserve"> </w:t>
      </w:r>
      <w:r w:rsidR="00F51E4D" w:rsidRPr="008D59AC">
        <w:rPr>
          <w:lang w:val="en-GB"/>
        </w:rPr>
        <w:t>(GICS 40</w:t>
      </w:r>
      <w:r w:rsidR="00E70F04" w:rsidRPr="008D59AC">
        <w:rPr>
          <w:lang w:val="en-GB"/>
        </w:rPr>
        <w:t>10-4030</w:t>
      </w:r>
      <w:r w:rsidR="00F51E4D" w:rsidRPr="008D59AC">
        <w:rPr>
          <w:lang w:val="en-GB"/>
        </w:rPr>
        <w:t>)</w:t>
      </w:r>
      <w:r w:rsidR="00950BFF" w:rsidRPr="008D59AC">
        <w:rPr>
          <w:lang w:val="en-GB"/>
        </w:rPr>
        <w:t>,</w:t>
      </w:r>
      <w:r w:rsidR="00F51E4D" w:rsidRPr="008D59AC">
        <w:rPr>
          <w:lang w:val="en-GB"/>
        </w:rPr>
        <w:t xml:space="preserve"> as firm</w:t>
      </w:r>
      <w:r w:rsidR="00CC7955" w:rsidRPr="008D59AC">
        <w:rPr>
          <w:lang w:val="en-GB"/>
        </w:rPr>
        <w:t>s in the financial industry disclose</w:t>
      </w:r>
      <w:r w:rsidR="00F51E4D" w:rsidRPr="008D59AC">
        <w:rPr>
          <w:lang w:val="en-GB"/>
        </w:rPr>
        <w:t xml:space="preserve"> significant amounts of fai</w:t>
      </w:r>
      <w:r w:rsidR="00AD0412" w:rsidRPr="008D59AC">
        <w:rPr>
          <w:lang w:val="en-GB"/>
        </w:rPr>
        <w:t xml:space="preserve">r value assets and liabilities. </w:t>
      </w:r>
      <w:r w:rsidR="00F51E4D" w:rsidRPr="008D59AC">
        <w:rPr>
          <w:lang w:val="en-GB"/>
        </w:rPr>
        <w:t xml:space="preserve">From the </w:t>
      </w:r>
      <w:r w:rsidR="00950BFF" w:rsidRPr="008D59AC">
        <w:rPr>
          <w:lang w:val="en-GB"/>
        </w:rPr>
        <w:t>initial</w:t>
      </w:r>
      <w:r w:rsidR="00F51E4D" w:rsidRPr="008D59AC">
        <w:rPr>
          <w:lang w:val="en-GB"/>
        </w:rPr>
        <w:t xml:space="preserve"> sample</w:t>
      </w:r>
      <w:r w:rsidR="00AD0412" w:rsidRPr="008D59AC">
        <w:rPr>
          <w:lang w:val="en-GB"/>
        </w:rPr>
        <w:t xml:space="preserve">, </w:t>
      </w:r>
      <w:r w:rsidR="00DC2DB9" w:rsidRPr="008D59AC">
        <w:rPr>
          <w:lang w:val="en-GB"/>
        </w:rPr>
        <w:t>firms</w:t>
      </w:r>
      <w:r w:rsidR="00D23C83" w:rsidRPr="008D59AC">
        <w:rPr>
          <w:lang w:val="en-GB"/>
        </w:rPr>
        <w:t xml:space="preserve"> with abnormal fiscal year end (non-December)</w:t>
      </w:r>
      <w:r w:rsidR="00950BFF" w:rsidRPr="008D59AC">
        <w:rPr>
          <w:lang w:val="en-GB"/>
        </w:rPr>
        <w:t>,</w:t>
      </w:r>
      <w:r w:rsidR="00D23C83" w:rsidRPr="008D59AC">
        <w:rPr>
          <w:lang w:val="en-GB"/>
        </w:rPr>
        <w:t xml:space="preserve"> </w:t>
      </w:r>
      <w:r w:rsidR="00AD0412" w:rsidRPr="008D59AC">
        <w:rPr>
          <w:lang w:val="en-GB"/>
        </w:rPr>
        <w:t>fi</w:t>
      </w:r>
      <w:r w:rsidR="004762F5" w:rsidRPr="008D59AC">
        <w:rPr>
          <w:lang w:val="en-GB"/>
        </w:rPr>
        <w:softHyphen/>
      </w:r>
      <w:r w:rsidR="004762F5" w:rsidRPr="008D59AC">
        <w:rPr>
          <w:lang w:val="en-GB"/>
        </w:rPr>
        <w:softHyphen/>
      </w:r>
      <w:r w:rsidR="004762F5" w:rsidRPr="008D59AC">
        <w:rPr>
          <w:lang w:val="en-GB"/>
        </w:rPr>
        <w:softHyphen/>
      </w:r>
      <w:r w:rsidR="004762F5" w:rsidRPr="008D59AC">
        <w:rPr>
          <w:lang w:val="en-GB"/>
        </w:rPr>
        <w:softHyphen/>
      </w:r>
      <w:r w:rsidR="00AD0412" w:rsidRPr="008D59AC">
        <w:rPr>
          <w:lang w:val="en-GB"/>
        </w:rPr>
        <w:t>nancial</w:t>
      </w:r>
      <w:r w:rsidR="00D23C83" w:rsidRPr="008D59AC">
        <w:rPr>
          <w:lang w:val="en-GB"/>
        </w:rPr>
        <w:t xml:space="preserve"> </w:t>
      </w:r>
      <w:r w:rsidR="00DC2DB9" w:rsidRPr="008D59AC">
        <w:rPr>
          <w:lang w:val="en-GB"/>
        </w:rPr>
        <w:t>firms</w:t>
      </w:r>
      <w:r w:rsidR="009C1670" w:rsidRPr="008D59AC">
        <w:rPr>
          <w:lang w:val="en-GB"/>
        </w:rPr>
        <w:t xml:space="preserve"> with total assets below 10</w:t>
      </w:r>
      <w:r w:rsidR="00DC2DB9" w:rsidRPr="008D59AC">
        <w:rPr>
          <w:lang w:val="en-GB"/>
        </w:rPr>
        <w:t xml:space="preserve"> million euros (micro firms</w:t>
      </w:r>
      <w:r w:rsidR="00950BFF" w:rsidRPr="008D59AC">
        <w:rPr>
          <w:lang w:val="en-GB"/>
        </w:rPr>
        <w:t xml:space="preserve">), </w:t>
      </w:r>
      <w:r w:rsidR="00D23C83" w:rsidRPr="008D59AC">
        <w:rPr>
          <w:lang w:val="en-GB"/>
        </w:rPr>
        <w:t>penny stocks</w:t>
      </w:r>
      <w:r w:rsidR="00D22E1E" w:rsidRPr="008D59AC">
        <w:rPr>
          <w:lang w:val="en-GB"/>
        </w:rPr>
        <w:t xml:space="preserve">, </w:t>
      </w:r>
      <w:r w:rsidR="00950BFF" w:rsidRPr="008D59AC">
        <w:rPr>
          <w:lang w:val="en-GB"/>
        </w:rPr>
        <w:t xml:space="preserve">and illiquid stocks are excluded </w:t>
      </w:r>
      <w:r w:rsidR="007E6E58" w:rsidRPr="008D59AC">
        <w:rPr>
          <w:lang w:val="en-GB"/>
        </w:rPr>
        <w:t>(</w:t>
      </w:r>
      <w:r w:rsidR="00950BFF" w:rsidRPr="008D59AC">
        <w:rPr>
          <w:lang w:val="en-GB"/>
        </w:rPr>
        <w:t>Stocks traded less than 25% of trading days</w:t>
      </w:r>
      <w:r w:rsidR="007E6E58" w:rsidRPr="008D59AC">
        <w:rPr>
          <w:lang w:val="en-GB"/>
        </w:rPr>
        <w:t>).</w:t>
      </w:r>
      <w:r w:rsidR="00EE64C7" w:rsidRPr="008D59AC">
        <w:rPr>
          <w:lang w:val="en-GB"/>
        </w:rPr>
        <w:t xml:space="preserve"> The largest drop of observations is due to abnormal stocks. As the sample includes countries with less developed stock markets, a large number of stocks are penny stocks or stocks with infrequent trading.</w:t>
      </w:r>
      <w:r w:rsidR="00D23C83" w:rsidRPr="008D59AC">
        <w:rPr>
          <w:lang w:val="en-GB"/>
        </w:rPr>
        <w:t xml:space="preserve"> Additional</w:t>
      </w:r>
      <w:r w:rsidR="005F557C" w:rsidRPr="008D59AC">
        <w:rPr>
          <w:lang w:val="en-GB"/>
        </w:rPr>
        <w:t>ly</w:t>
      </w:r>
      <w:r w:rsidR="00515EA0" w:rsidRPr="008D59AC">
        <w:rPr>
          <w:lang w:val="en-GB"/>
        </w:rPr>
        <w:t>, a</w:t>
      </w:r>
      <w:r w:rsidR="005F557C" w:rsidRPr="008D59AC">
        <w:rPr>
          <w:lang w:val="en-GB"/>
        </w:rPr>
        <w:t xml:space="preserve"> </w:t>
      </w:r>
      <w:r w:rsidR="00515EA0" w:rsidRPr="008D59AC">
        <w:rPr>
          <w:lang w:val="en-GB"/>
        </w:rPr>
        <w:t>s</w:t>
      </w:r>
      <w:r w:rsidR="005F557C" w:rsidRPr="008D59AC">
        <w:rPr>
          <w:lang w:val="en-GB"/>
        </w:rPr>
        <w:t xml:space="preserve">urprisingly large number of </w:t>
      </w:r>
      <w:r w:rsidR="00DC2DB9" w:rsidRPr="008D59AC">
        <w:rPr>
          <w:lang w:val="en-GB"/>
        </w:rPr>
        <w:t>firms</w:t>
      </w:r>
      <w:r w:rsidR="005F557C" w:rsidRPr="008D59AC">
        <w:rPr>
          <w:lang w:val="en-GB"/>
        </w:rPr>
        <w:t xml:space="preserve"> </w:t>
      </w:r>
      <w:r w:rsidR="00515EA0" w:rsidRPr="008D59AC">
        <w:rPr>
          <w:lang w:val="en-GB"/>
        </w:rPr>
        <w:t>are</w:t>
      </w:r>
      <w:r w:rsidR="00D23C83" w:rsidRPr="008D59AC">
        <w:rPr>
          <w:lang w:val="en-GB"/>
        </w:rPr>
        <w:t xml:space="preserve"> excluded due to insufficient data</w:t>
      </w:r>
      <w:r w:rsidR="00AD0412" w:rsidRPr="008D59AC">
        <w:rPr>
          <w:lang w:val="en-GB"/>
        </w:rPr>
        <w:t xml:space="preserve"> on </w:t>
      </w:r>
      <w:r w:rsidR="005F557C" w:rsidRPr="008D59AC">
        <w:rPr>
          <w:lang w:val="en-GB"/>
        </w:rPr>
        <w:t>fair values in their notes</w:t>
      </w:r>
      <w:r w:rsidR="00D23C83" w:rsidRPr="008D59AC">
        <w:rPr>
          <w:lang w:val="en-GB"/>
        </w:rPr>
        <w:t>.</w:t>
      </w:r>
      <w:r w:rsidR="00EE64C7" w:rsidRPr="008D59AC">
        <w:rPr>
          <w:lang w:val="en-GB"/>
        </w:rPr>
        <w:t xml:space="preserve"> The firms not disclosing relevant information of the fair value hierarchy in their notes are characterized by being very small firms in all of the included sub-industries (banks, insurance, and investment firms).</w:t>
      </w:r>
      <w:r w:rsidR="00D23C83" w:rsidRPr="008D59AC">
        <w:rPr>
          <w:lang w:val="en-GB"/>
        </w:rPr>
        <w:t xml:space="preserve"> </w:t>
      </w:r>
      <w:r w:rsidR="00AF7100" w:rsidRPr="008D59AC">
        <w:rPr>
          <w:lang w:val="en-GB"/>
        </w:rPr>
        <w:t xml:space="preserve">Finally, to </w:t>
      </w:r>
      <w:r w:rsidR="00950BFF" w:rsidRPr="008D59AC">
        <w:rPr>
          <w:lang w:val="en-GB"/>
        </w:rPr>
        <w:t>restrict</w:t>
      </w:r>
      <w:r w:rsidR="00AF7100" w:rsidRPr="008D59AC">
        <w:rPr>
          <w:lang w:val="en-GB"/>
        </w:rPr>
        <w:t xml:space="preserve"> the effect from outliers, all observations with an absolute studentized residual great</w:t>
      </w:r>
      <w:r w:rsidR="00161680" w:rsidRPr="008D59AC">
        <w:rPr>
          <w:lang w:val="en-GB"/>
        </w:rPr>
        <w:t>er than 2 in the estimation of E</w:t>
      </w:r>
      <w:r w:rsidR="00AF7100" w:rsidRPr="008D59AC">
        <w:rPr>
          <w:lang w:val="en-GB"/>
        </w:rPr>
        <w:t xml:space="preserve">quation </w:t>
      </w:r>
      <w:r w:rsidR="0049795A" w:rsidRPr="008D59AC">
        <w:rPr>
          <w:lang w:val="en-GB"/>
        </w:rPr>
        <w:t>1</w:t>
      </w:r>
      <w:r w:rsidR="00AF7100" w:rsidRPr="008D59AC">
        <w:rPr>
          <w:lang w:val="en-GB"/>
        </w:rPr>
        <w:t xml:space="preserve"> are eliminated from the sample.</w:t>
      </w:r>
      <w:r w:rsidR="00AF7100" w:rsidRPr="008D59AC">
        <w:rPr>
          <w:rStyle w:val="FootnoteReference"/>
          <w:lang w:val="en-GB"/>
        </w:rPr>
        <w:footnoteReference w:id="5"/>
      </w:r>
      <w:r w:rsidR="00AF7100" w:rsidRPr="008D59AC">
        <w:rPr>
          <w:lang w:val="en-GB"/>
        </w:rPr>
        <w:t xml:space="preserve"> </w:t>
      </w:r>
      <w:r w:rsidR="00D23C83" w:rsidRPr="008D59AC">
        <w:rPr>
          <w:lang w:val="en-GB"/>
        </w:rPr>
        <w:t>The fin</w:t>
      </w:r>
      <w:r w:rsidR="007E6E58" w:rsidRPr="008D59AC">
        <w:rPr>
          <w:lang w:val="en-GB"/>
        </w:rPr>
        <w:t>al sample consists of</w:t>
      </w:r>
      <w:r w:rsidR="00AD0412" w:rsidRPr="008D59AC">
        <w:rPr>
          <w:lang w:val="en-GB"/>
        </w:rPr>
        <w:t xml:space="preserve"> 355 </w:t>
      </w:r>
      <w:r w:rsidR="00950BFF" w:rsidRPr="008D59AC">
        <w:rPr>
          <w:lang w:val="en-GB"/>
        </w:rPr>
        <w:t>unique firms from the years 2012</w:t>
      </w:r>
      <w:r w:rsidR="00D22E1E" w:rsidRPr="008D59AC">
        <w:rPr>
          <w:lang w:val="en-GB"/>
        </w:rPr>
        <w:t>-2014</w:t>
      </w:r>
      <w:r w:rsidR="00EE64C7" w:rsidRPr="008D59AC">
        <w:rPr>
          <w:lang w:val="en-GB"/>
        </w:rPr>
        <w:t>.</w:t>
      </w:r>
      <w:r w:rsidR="00AD0412" w:rsidRPr="008D59AC">
        <w:rPr>
          <w:lang w:val="en-GB"/>
        </w:rPr>
        <w:t xml:space="preserve"> </w:t>
      </w:r>
      <w:r w:rsidR="00EE64C7" w:rsidRPr="008D59AC">
        <w:rPr>
          <w:lang w:val="en-GB"/>
        </w:rPr>
        <w:t>The exclusion of outliers</w:t>
      </w:r>
      <w:r w:rsidR="004E0FD2" w:rsidRPr="008D59AC">
        <w:rPr>
          <w:lang w:val="en-GB"/>
        </w:rPr>
        <w:t xml:space="preserve"> (37 observations)</w:t>
      </w:r>
      <w:r w:rsidR="00EE64C7" w:rsidRPr="008D59AC">
        <w:rPr>
          <w:lang w:val="en-GB"/>
        </w:rPr>
        <w:t xml:space="preserve"> and firms</w:t>
      </w:r>
      <w:r w:rsidR="00655438" w:rsidRPr="008D59AC">
        <w:rPr>
          <w:lang w:val="en-GB"/>
        </w:rPr>
        <w:t>-year observations</w:t>
      </w:r>
      <w:r w:rsidR="00EE64C7" w:rsidRPr="008D59AC">
        <w:rPr>
          <w:lang w:val="en-GB"/>
        </w:rPr>
        <w:t xml:space="preserve"> with insufficient data for</w:t>
      </w:r>
      <w:r w:rsidR="00655438" w:rsidRPr="008D59AC">
        <w:rPr>
          <w:lang w:val="en-GB"/>
        </w:rPr>
        <w:t xml:space="preserve"> one of the </w:t>
      </w:r>
      <w:r w:rsidR="00EE64C7" w:rsidRPr="008D59AC">
        <w:rPr>
          <w:lang w:val="en-GB"/>
        </w:rPr>
        <w:t>year</w:t>
      </w:r>
      <w:r w:rsidR="00655438" w:rsidRPr="008D59AC">
        <w:rPr>
          <w:lang w:val="en-GB"/>
        </w:rPr>
        <w:t>s</w:t>
      </w:r>
      <w:r w:rsidR="00EE64C7" w:rsidRPr="008D59AC">
        <w:rPr>
          <w:lang w:val="en-GB"/>
        </w:rPr>
        <w:t xml:space="preserve"> </w:t>
      </w:r>
      <w:r w:rsidR="00AD0412" w:rsidRPr="008D59AC">
        <w:rPr>
          <w:lang w:val="en-GB"/>
        </w:rPr>
        <w:t>lead</w:t>
      </w:r>
      <w:r w:rsidR="00EE64C7" w:rsidRPr="008D59AC">
        <w:rPr>
          <w:lang w:val="en-GB"/>
        </w:rPr>
        <w:t>s</w:t>
      </w:r>
      <w:r w:rsidR="00AD0412" w:rsidRPr="008D59AC">
        <w:rPr>
          <w:lang w:val="en-GB"/>
        </w:rPr>
        <w:t xml:space="preserve"> to</w:t>
      </w:r>
      <w:r w:rsidR="00EE64C7" w:rsidRPr="008D59AC">
        <w:rPr>
          <w:lang w:val="en-GB"/>
        </w:rPr>
        <w:t xml:space="preserve"> a final sample of</w:t>
      </w:r>
      <w:r w:rsidR="007E6E58" w:rsidRPr="008D59AC">
        <w:rPr>
          <w:lang w:val="en-GB"/>
        </w:rPr>
        <w:t xml:space="preserve"> </w:t>
      </w:r>
      <w:r w:rsidR="00D22E1E" w:rsidRPr="008D59AC">
        <w:rPr>
          <w:lang w:val="en-GB"/>
        </w:rPr>
        <w:t>985</w:t>
      </w:r>
      <w:r w:rsidR="007E6E58" w:rsidRPr="008D59AC">
        <w:rPr>
          <w:lang w:val="en-GB"/>
        </w:rPr>
        <w:t xml:space="preserve"> firm-year</w:t>
      </w:r>
      <w:r w:rsidR="00AF7100" w:rsidRPr="008D59AC">
        <w:rPr>
          <w:lang w:val="en-GB"/>
        </w:rPr>
        <w:t xml:space="preserve"> observations from 34</w:t>
      </w:r>
      <w:r w:rsidR="00E62FE5" w:rsidRPr="008D59AC">
        <w:rPr>
          <w:lang w:val="en-GB"/>
        </w:rPr>
        <w:t xml:space="preserve"> countries</w:t>
      </w:r>
      <w:r w:rsidR="00D23C83" w:rsidRPr="008D59AC">
        <w:rPr>
          <w:lang w:val="en-GB"/>
        </w:rPr>
        <w:t>.</w:t>
      </w:r>
      <w:r w:rsidR="00AF7100" w:rsidRPr="008D59AC">
        <w:rPr>
          <w:rStyle w:val="FootnoteReference"/>
          <w:lang w:val="en-GB"/>
        </w:rPr>
        <w:footnoteReference w:id="6"/>
      </w:r>
      <w:r w:rsidR="00DE7E48" w:rsidRPr="008D59AC">
        <w:rPr>
          <w:lang w:val="en-GB"/>
        </w:rPr>
        <w:t xml:space="preserve"> </w:t>
      </w:r>
      <w:r w:rsidR="00AD0412" w:rsidRPr="008D59AC">
        <w:rPr>
          <w:lang w:val="en-GB"/>
        </w:rPr>
        <w:t xml:space="preserve">The sample selection </w:t>
      </w:r>
      <w:r w:rsidR="00D22E1E" w:rsidRPr="008D59AC">
        <w:rPr>
          <w:lang w:val="en-GB"/>
        </w:rPr>
        <w:t>process is presented in Table 1.</w:t>
      </w:r>
    </w:p>
    <w:p w:rsidR="00C3308D" w:rsidRPr="008D59AC" w:rsidRDefault="00AF7100" w:rsidP="00C3308D">
      <w:pPr>
        <w:pStyle w:val="HBodyText"/>
        <w:rPr>
          <w:lang w:val="en-GB"/>
        </w:rPr>
      </w:pPr>
      <w:r w:rsidRPr="008D59AC">
        <w:rPr>
          <w:lang w:val="en-GB"/>
        </w:rPr>
        <w:t xml:space="preserve"> </w:t>
      </w:r>
      <w:r w:rsidR="008B1837" w:rsidRPr="008D59AC">
        <w:rPr>
          <w:lang w:val="en-GB"/>
        </w:rPr>
        <w:t>(INSERT TABLE 1</w:t>
      </w:r>
      <w:r w:rsidR="00C3308D" w:rsidRPr="008D59AC">
        <w:rPr>
          <w:lang w:val="en-GB"/>
        </w:rPr>
        <w:t xml:space="preserve"> ABOUT HERE)</w:t>
      </w:r>
    </w:p>
    <w:p w:rsidR="00641BC0" w:rsidRPr="008D59AC" w:rsidRDefault="00641BC0" w:rsidP="00641BC0">
      <w:pPr>
        <w:pStyle w:val="HHead2"/>
        <w:rPr>
          <w:lang w:val="en-GB"/>
        </w:rPr>
      </w:pPr>
      <w:r w:rsidRPr="008D59AC">
        <w:rPr>
          <w:lang w:val="en-GB"/>
        </w:rPr>
        <w:t>Descriptive statistics</w:t>
      </w:r>
    </w:p>
    <w:p w:rsidR="008B1837" w:rsidRPr="008D59AC" w:rsidRDefault="008B1837" w:rsidP="008B1837">
      <w:pPr>
        <w:pStyle w:val="HBodyText"/>
        <w:rPr>
          <w:lang w:val="en-GB"/>
        </w:rPr>
      </w:pPr>
      <w:r w:rsidRPr="008D59AC">
        <w:rPr>
          <w:lang w:val="en-GB"/>
        </w:rPr>
        <w:t xml:space="preserve">Table </w:t>
      </w:r>
      <w:r w:rsidR="00D22E1E" w:rsidRPr="008D59AC">
        <w:rPr>
          <w:lang w:val="en-GB"/>
        </w:rPr>
        <w:t>2</w:t>
      </w:r>
      <w:r w:rsidRPr="008D59AC">
        <w:rPr>
          <w:lang w:val="en-GB"/>
        </w:rPr>
        <w:t xml:space="preserve"> provides descriptive statistics of variables used to test the value relevance of </w:t>
      </w:r>
      <w:r w:rsidR="00D82D2B" w:rsidRPr="008D59AC">
        <w:rPr>
          <w:lang w:val="en-GB"/>
        </w:rPr>
        <w:t>fair values in the fair value hierarchy</w:t>
      </w:r>
      <w:r w:rsidR="00D22E1E" w:rsidRPr="008D59AC">
        <w:rPr>
          <w:lang w:val="en-GB"/>
        </w:rPr>
        <w:t>. The mean share price is 19.98</w:t>
      </w:r>
      <w:r w:rsidRPr="008D59AC">
        <w:rPr>
          <w:lang w:val="en-GB"/>
        </w:rPr>
        <w:t xml:space="preserve"> euro, the mean of level 1, level 2, and level 3 fair value assets</w:t>
      </w:r>
      <w:r w:rsidR="00A805F9" w:rsidRPr="008D59AC">
        <w:rPr>
          <w:lang w:val="en-GB"/>
        </w:rPr>
        <w:t xml:space="preserve"> per share</w:t>
      </w:r>
      <w:r w:rsidR="00D22E1E" w:rsidRPr="008D59AC">
        <w:rPr>
          <w:lang w:val="en-GB"/>
        </w:rPr>
        <w:t xml:space="preserve"> are 35</w:t>
      </w:r>
      <w:r w:rsidRPr="008D59AC">
        <w:rPr>
          <w:lang w:val="en-GB"/>
        </w:rPr>
        <w:t>.</w:t>
      </w:r>
      <w:r w:rsidR="00D22E1E" w:rsidRPr="008D59AC">
        <w:rPr>
          <w:lang w:val="en-GB"/>
        </w:rPr>
        <w:t>48, 33</w:t>
      </w:r>
      <w:r w:rsidRPr="008D59AC">
        <w:rPr>
          <w:lang w:val="en-GB"/>
        </w:rPr>
        <w:t>.</w:t>
      </w:r>
      <w:r w:rsidR="00D22E1E" w:rsidRPr="008D59AC">
        <w:rPr>
          <w:lang w:val="en-GB"/>
        </w:rPr>
        <w:t>42, and 11.49</w:t>
      </w:r>
      <w:r w:rsidRPr="008D59AC">
        <w:rPr>
          <w:lang w:val="en-GB"/>
        </w:rPr>
        <w:t xml:space="preserve"> euro, re</w:t>
      </w:r>
      <w:r w:rsidR="007E62B1" w:rsidRPr="008D59AC">
        <w:rPr>
          <w:lang w:val="en-GB"/>
        </w:rPr>
        <w:t>spectively. The mean of level 1 and 2</w:t>
      </w:r>
      <w:r w:rsidRPr="008D59AC">
        <w:rPr>
          <w:lang w:val="en-GB"/>
        </w:rPr>
        <w:t>, and level 3 fair value liabilities</w:t>
      </w:r>
      <w:r w:rsidR="00A805F9" w:rsidRPr="008D59AC">
        <w:rPr>
          <w:lang w:val="en-GB"/>
        </w:rPr>
        <w:t xml:space="preserve"> per share</w:t>
      </w:r>
      <w:r w:rsidRPr="008D59AC">
        <w:rPr>
          <w:lang w:val="en-GB"/>
        </w:rPr>
        <w:t xml:space="preserve"> are </w:t>
      </w:r>
      <w:r w:rsidR="00D22E1E" w:rsidRPr="008D59AC">
        <w:rPr>
          <w:lang w:val="en-GB"/>
        </w:rPr>
        <w:t>25.42</w:t>
      </w:r>
      <w:r w:rsidR="007E62B1" w:rsidRPr="008D59AC">
        <w:rPr>
          <w:lang w:val="en-GB"/>
        </w:rPr>
        <w:t xml:space="preserve"> and</w:t>
      </w:r>
      <w:r w:rsidRPr="008D59AC">
        <w:rPr>
          <w:lang w:val="en-GB"/>
        </w:rPr>
        <w:t xml:space="preserve"> </w:t>
      </w:r>
      <w:r w:rsidR="00D22E1E" w:rsidRPr="008D59AC">
        <w:rPr>
          <w:lang w:val="en-GB"/>
        </w:rPr>
        <w:t>6.55</w:t>
      </w:r>
      <w:r w:rsidRPr="008D59AC">
        <w:rPr>
          <w:lang w:val="en-GB"/>
        </w:rPr>
        <w:t xml:space="preserve"> euro, respectively. Finally, the mean of earnings per share excluding e</w:t>
      </w:r>
      <w:r w:rsidR="00D22E1E" w:rsidRPr="008D59AC">
        <w:rPr>
          <w:lang w:val="en-GB"/>
        </w:rPr>
        <w:t>xtraordinary items (</w:t>
      </w:r>
      <w:r w:rsidR="00D22E1E" w:rsidRPr="008D59AC">
        <w:rPr>
          <w:i/>
          <w:lang w:val="en-GB"/>
        </w:rPr>
        <w:t>EPS</w:t>
      </w:r>
      <w:r w:rsidR="00D22E1E" w:rsidRPr="008D59AC">
        <w:rPr>
          <w:lang w:val="en-GB"/>
        </w:rPr>
        <w:t>) is 1.52</w:t>
      </w:r>
      <w:r w:rsidRPr="008D59AC">
        <w:rPr>
          <w:lang w:val="en-GB"/>
        </w:rPr>
        <w:t xml:space="preserve"> euro. All variables are presented as per share values. </w:t>
      </w:r>
    </w:p>
    <w:p w:rsidR="0012774F" w:rsidRPr="008D59AC" w:rsidRDefault="00C3308D" w:rsidP="00C817CD">
      <w:pPr>
        <w:pStyle w:val="HBodyText"/>
        <w:rPr>
          <w:lang w:val="en-GB"/>
        </w:rPr>
      </w:pPr>
      <w:r w:rsidRPr="008D59AC">
        <w:rPr>
          <w:lang w:val="en-GB"/>
        </w:rPr>
        <w:t xml:space="preserve"> </w:t>
      </w:r>
      <w:r w:rsidR="00D22E1E" w:rsidRPr="008D59AC">
        <w:rPr>
          <w:lang w:val="en-GB"/>
        </w:rPr>
        <w:t>(INSERT TABLE 2</w:t>
      </w:r>
      <w:r w:rsidR="00A01487" w:rsidRPr="008D59AC">
        <w:rPr>
          <w:lang w:val="en-GB"/>
        </w:rPr>
        <w:t xml:space="preserve"> ABOUT HERE)</w:t>
      </w:r>
    </w:p>
    <w:p w:rsidR="00491E4A" w:rsidRPr="008D59AC" w:rsidRDefault="00D22E1E" w:rsidP="00491E4A">
      <w:pPr>
        <w:pStyle w:val="HBodyText"/>
        <w:rPr>
          <w:lang w:val="en-GB"/>
        </w:rPr>
      </w:pPr>
      <w:r w:rsidRPr="008D59AC">
        <w:rPr>
          <w:lang w:val="en-GB"/>
        </w:rPr>
        <w:t>The Non-Zero column in Table 2</w:t>
      </w:r>
      <w:r w:rsidR="00491E4A" w:rsidRPr="008D59AC">
        <w:rPr>
          <w:lang w:val="en-GB"/>
        </w:rPr>
        <w:t xml:space="preserve"> presents the percentage of observations that do disclose above zero of the specific variable. Of al</w:t>
      </w:r>
      <w:r w:rsidRPr="008D59AC">
        <w:rPr>
          <w:lang w:val="en-GB"/>
        </w:rPr>
        <w:t>l observations, as high as 89.85</w:t>
      </w:r>
      <w:r w:rsidR="00491E4A" w:rsidRPr="008D59AC">
        <w:rPr>
          <w:lang w:val="en-GB"/>
        </w:rPr>
        <w:t xml:space="preserve"> percent</w:t>
      </w:r>
      <w:r w:rsidR="00C37858" w:rsidRPr="008D59AC">
        <w:rPr>
          <w:lang w:val="en-GB"/>
        </w:rPr>
        <w:t xml:space="preserve"> of the firms</w:t>
      </w:r>
      <w:r w:rsidR="00491E4A" w:rsidRPr="008D59AC">
        <w:rPr>
          <w:lang w:val="en-GB"/>
        </w:rPr>
        <w:t xml:space="preserve"> include level 1 fair </w:t>
      </w:r>
      <w:r w:rsidR="00491E4A" w:rsidRPr="008D59AC">
        <w:rPr>
          <w:lang w:val="en-GB"/>
        </w:rPr>
        <w:lastRenderedPageBreak/>
        <w:t>valu</w:t>
      </w:r>
      <w:r w:rsidR="00C37858" w:rsidRPr="008D59AC">
        <w:rPr>
          <w:lang w:val="en-GB"/>
        </w:rPr>
        <w:t>e assets in their balance sheet,</w:t>
      </w:r>
      <w:r w:rsidRPr="008D59AC">
        <w:rPr>
          <w:lang w:val="en-GB"/>
        </w:rPr>
        <w:t xml:space="preserve"> 86.09</w:t>
      </w:r>
      <w:r w:rsidR="00491E4A" w:rsidRPr="008D59AC">
        <w:rPr>
          <w:lang w:val="en-GB"/>
        </w:rPr>
        <w:t xml:space="preserve"> percent disclose level 2 assets</w:t>
      </w:r>
      <w:r w:rsidR="00C37858" w:rsidRPr="008D59AC">
        <w:rPr>
          <w:lang w:val="en-GB"/>
        </w:rPr>
        <w:t>,</w:t>
      </w:r>
      <w:r w:rsidRPr="008D59AC">
        <w:rPr>
          <w:lang w:val="en-GB"/>
        </w:rPr>
        <w:t xml:space="preserve"> and 75.84</w:t>
      </w:r>
      <w:r w:rsidR="00491E4A" w:rsidRPr="008D59AC">
        <w:rPr>
          <w:lang w:val="en-GB"/>
        </w:rPr>
        <w:t xml:space="preserve"> percent disclose level 3 assets in their balance </w:t>
      </w:r>
      <w:r w:rsidRPr="008D59AC">
        <w:rPr>
          <w:lang w:val="en-GB"/>
        </w:rPr>
        <w:t>sheet. Hence, a total of 747 of 985</w:t>
      </w:r>
      <w:r w:rsidR="00C37858" w:rsidRPr="008D59AC">
        <w:rPr>
          <w:lang w:val="en-GB"/>
        </w:rPr>
        <w:t xml:space="preserve"> firm-year observations </w:t>
      </w:r>
      <w:r w:rsidR="00491E4A" w:rsidRPr="008D59AC">
        <w:rPr>
          <w:lang w:val="en-GB"/>
        </w:rPr>
        <w:t xml:space="preserve">disclose level 3 fair value assets. The relative amount of fair values to total assets is </w:t>
      </w:r>
      <w:r w:rsidRPr="008D59AC">
        <w:rPr>
          <w:lang w:val="en-GB"/>
        </w:rPr>
        <w:t>40.91</w:t>
      </w:r>
      <w:r w:rsidR="00491E4A" w:rsidRPr="008D59AC">
        <w:rPr>
          <w:lang w:val="en-GB"/>
        </w:rPr>
        <w:t xml:space="preserve"> percent</w:t>
      </w:r>
      <w:r w:rsidR="00D91424" w:rsidRPr="008D59AC">
        <w:rPr>
          <w:lang w:val="en-GB"/>
        </w:rPr>
        <w:t>,</w:t>
      </w:r>
      <w:r w:rsidRPr="008D59AC">
        <w:rPr>
          <w:lang w:val="en-GB"/>
        </w:rPr>
        <w:t xml:space="preserve"> meaning that the value of 40.91</w:t>
      </w:r>
      <w:r w:rsidR="00491E4A" w:rsidRPr="008D59AC">
        <w:rPr>
          <w:lang w:val="en-GB"/>
        </w:rPr>
        <w:t xml:space="preserve"> percent of the total assets is</w:t>
      </w:r>
      <w:r w:rsidRPr="008D59AC">
        <w:rPr>
          <w:lang w:val="en-GB"/>
        </w:rPr>
        <w:t xml:space="preserve"> measured at fair value in the 2012-2014</w:t>
      </w:r>
      <w:r w:rsidR="00491E4A" w:rsidRPr="008D59AC">
        <w:rPr>
          <w:lang w:val="en-GB"/>
        </w:rPr>
        <w:t xml:space="preserve"> fin</w:t>
      </w:r>
      <w:r w:rsidR="00D91424" w:rsidRPr="008D59AC">
        <w:rPr>
          <w:lang w:val="en-GB"/>
        </w:rPr>
        <w:t xml:space="preserve">ancial statements. On average, </w:t>
      </w:r>
      <w:r w:rsidRPr="008D59AC">
        <w:rPr>
          <w:lang w:val="en-GB"/>
        </w:rPr>
        <w:t>7.19</w:t>
      </w:r>
      <w:r w:rsidR="00491E4A" w:rsidRPr="008D59AC">
        <w:rPr>
          <w:lang w:val="en-GB"/>
        </w:rPr>
        <w:t xml:space="preserve"> percent of the total assets are classifie</w:t>
      </w:r>
      <w:r w:rsidR="00D91424" w:rsidRPr="008D59AC">
        <w:rPr>
          <w:lang w:val="en-GB"/>
        </w:rPr>
        <w:t>d as level 3 fair value assets</w:t>
      </w:r>
      <w:r w:rsidR="00491E4A" w:rsidRPr="008D59AC">
        <w:rPr>
          <w:shd w:val="clear" w:color="auto" w:fill="FFFFFF" w:themeFill="background1"/>
          <w:lang w:val="en-GB"/>
        </w:rPr>
        <w:t>. Hence</w:t>
      </w:r>
      <w:r w:rsidRPr="008D59AC">
        <w:rPr>
          <w:shd w:val="clear" w:color="auto" w:fill="FFFFFF" w:themeFill="background1"/>
          <w:lang w:val="en-GB"/>
        </w:rPr>
        <w:t>, 7.19</w:t>
      </w:r>
      <w:r w:rsidR="00491E4A" w:rsidRPr="008D59AC">
        <w:rPr>
          <w:shd w:val="clear" w:color="auto" w:fill="FFFFFF" w:themeFill="background1"/>
          <w:lang w:val="en-GB"/>
        </w:rPr>
        <w:t xml:space="preserve"> percent of the total assets</w:t>
      </w:r>
      <w:r w:rsidRPr="008D59AC">
        <w:rPr>
          <w:shd w:val="clear" w:color="auto" w:fill="FFFFFF" w:themeFill="background1"/>
          <w:lang w:val="en-GB"/>
        </w:rPr>
        <w:t xml:space="preserve"> of the 985</w:t>
      </w:r>
      <w:r w:rsidR="00491E4A" w:rsidRPr="008D59AC">
        <w:rPr>
          <w:shd w:val="clear" w:color="auto" w:fill="FFFFFF" w:themeFill="background1"/>
          <w:lang w:val="en-GB"/>
        </w:rPr>
        <w:t xml:space="preserve"> observations are merely estimates made by the </w:t>
      </w:r>
      <w:r w:rsidR="00DC2DB9" w:rsidRPr="008D59AC">
        <w:rPr>
          <w:shd w:val="clear" w:color="auto" w:fill="FFFFFF" w:themeFill="background1"/>
          <w:lang w:val="en-GB"/>
        </w:rPr>
        <w:t>firms</w:t>
      </w:r>
      <w:r w:rsidR="00491E4A" w:rsidRPr="008D59AC">
        <w:rPr>
          <w:shd w:val="clear" w:color="auto" w:fill="FFFFFF" w:themeFill="background1"/>
          <w:lang w:val="en-GB"/>
        </w:rPr>
        <w:t xml:space="preserve"> themselves</w:t>
      </w:r>
      <w:r w:rsidR="00491E4A" w:rsidRPr="008D59AC">
        <w:rPr>
          <w:lang w:val="en-GB"/>
        </w:rPr>
        <w:t xml:space="preserve">. </w:t>
      </w:r>
      <w:r w:rsidRPr="008D59AC">
        <w:rPr>
          <w:lang w:val="en-GB"/>
        </w:rPr>
        <w:t>Thereby</w:t>
      </w:r>
      <w:r w:rsidR="00491E4A" w:rsidRPr="008D59AC">
        <w:rPr>
          <w:lang w:val="en-GB"/>
        </w:rPr>
        <w:t>, on average, a financ</w:t>
      </w:r>
      <w:r w:rsidRPr="008D59AC">
        <w:rPr>
          <w:lang w:val="en-GB"/>
        </w:rPr>
        <w:t>ial firm measures the value of 7</w:t>
      </w:r>
      <w:r w:rsidR="00D91424" w:rsidRPr="008D59AC">
        <w:rPr>
          <w:lang w:val="en-GB"/>
        </w:rPr>
        <w:t>.</w:t>
      </w:r>
      <w:r w:rsidRPr="008D59AC">
        <w:rPr>
          <w:lang w:val="en-GB"/>
        </w:rPr>
        <w:t>19</w:t>
      </w:r>
      <w:r w:rsidR="00491E4A" w:rsidRPr="008D59AC">
        <w:rPr>
          <w:lang w:val="en-GB"/>
        </w:rPr>
        <w:t xml:space="preserve"> percent of its total assets without any observable market prices. </w:t>
      </w:r>
    </w:p>
    <w:p w:rsidR="00491E4A" w:rsidRPr="008D59AC" w:rsidRDefault="00491E4A" w:rsidP="00C817CD">
      <w:pPr>
        <w:pStyle w:val="HBodyText"/>
        <w:rPr>
          <w:lang w:val="en-GB"/>
        </w:rPr>
      </w:pPr>
      <w:r w:rsidRPr="008D59AC">
        <w:rPr>
          <w:lang w:val="en-GB"/>
        </w:rPr>
        <w:t xml:space="preserve">It seems that </w:t>
      </w:r>
      <w:r w:rsidR="00DC2DB9" w:rsidRPr="008D59AC">
        <w:rPr>
          <w:lang w:val="en-GB"/>
        </w:rPr>
        <w:t>firms</w:t>
      </w:r>
      <w:r w:rsidRPr="008D59AC">
        <w:rPr>
          <w:lang w:val="en-GB"/>
        </w:rPr>
        <w:t xml:space="preserve"> tend to disclose more fair value assets than fair value liabilities. The percentage of observations with above zero level 1</w:t>
      </w:r>
      <w:r w:rsidR="007E62B1" w:rsidRPr="008D59AC">
        <w:rPr>
          <w:lang w:val="en-GB"/>
        </w:rPr>
        <w:t xml:space="preserve"> and </w:t>
      </w:r>
      <w:r w:rsidRPr="008D59AC">
        <w:rPr>
          <w:lang w:val="en-GB"/>
        </w:rPr>
        <w:t xml:space="preserve">2, and 3 fair value liabilities are </w:t>
      </w:r>
      <w:r w:rsidR="007E62B1" w:rsidRPr="008D59AC">
        <w:rPr>
          <w:lang w:val="en-GB"/>
        </w:rPr>
        <w:t>71</w:t>
      </w:r>
      <w:r w:rsidR="00D22E1E" w:rsidRPr="008D59AC">
        <w:rPr>
          <w:lang w:val="en-GB"/>
        </w:rPr>
        <w:t>.27 and 33.50</w:t>
      </w:r>
      <w:r w:rsidRPr="008D59AC">
        <w:rPr>
          <w:lang w:val="en-GB"/>
        </w:rPr>
        <w:t xml:space="preserve"> percent, respectively. That is, about every third financial </w:t>
      </w:r>
      <w:r w:rsidR="00DC2DB9" w:rsidRPr="008D59AC">
        <w:rPr>
          <w:lang w:val="en-GB"/>
        </w:rPr>
        <w:t>firm</w:t>
      </w:r>
      <w:r w:rsidRPr="008D59AC">
        <w:rPr>
          <w:lang w:val="en-GB"/>
        </w:rPr>
        <w:t xml:space="preserve"> in the sample disclose level 3 liabilities in their balance sheet. Approximately 1</w:t>
      </w:r>
      <w:r w:rsidR="00D22E1E" w:rsidRPr="008D59AC">
        <w:rPr>
          <w:lang w:val="en-GB"/>
        </w:rPr>
        <w:t>4.81</w:t>
      </w:r>
      <w:r w:rsidRPr="008D59AC">
        <w:rPr>
          <w:lang w:val="en-GB"/>
        </w:rPr>
        <w:t xml:space="preserve"> percent of the total liabilities are </w:t>
      </w:r>
      <w:r w:rsidR="00F3608C" w:rsidRPr="008D59AC">
        <w:rPr>
          <w:lang w:val="en-GB"/>
        </w:rPr>
        <w:t>d</w:t>
      </w:r>
      <w:r w:rsidR="00D22E1E" w:rsidRPr="008D59AC">
        <w:rPr>
          <w:lang w:val="en-GB"/>
        </w:rPr>
        <w:t>isclosed as fair values and 3.60</w:t>
      </w:r>
      <w:r w:rsidRPr="008D59AC">
        <w:rPr>
          <w:lang w:val="en-GB"/>
        </w:rPr>
        <w:t xml:space="preserve"> percent of the total liabilities are disclosed as level 3 fair value liabilities. Compared to fair va</w:t>
      </w:r>
      <w:r w:rsidR="00F3608C" w:rsidRPr="008D59AC">
        <w:rPr>
          <w:lang w:val="en-GB"/>
        </w:rPr>
        <w:t>lues assets, which count for 40.65</w:t>
      </w:r>
      <w:r w:rsidRPr="008D59AC">
        <w:rPr>
          <w:lang w:val="en-GB"/>
        </w:rPr>
        <w:t xml:space="preserve"> percent of the total assets, the use of fair value</w:t>
      </w:r>
      <w:r w:rsidR="00B00AD1" w:rsidRPr="008D59AC">
        <w:rPr>
          <w:lang w:val="en-GB"/>
        </w:rPr>
        <w:t xml:space="preserve"> accounting for</w:t>
      </w:r>
      <w:r w:rsidRPr="008D59AC">
        <w:rPr>
          <w:lang w:val="en-GB"/>
        </w:rPr>
        <w:t xml:space="preserve"> liabilities seems to be less common.</w:t>
      </w:r>
    </w:p>
    <w:p w:rsidR="00F2495C" w:rsidRPr="008D59AC" w:rsidRDefault="00F2495C" w:rsidP="00EA5635">
      <w:pPr>
        <w:pStyle w:val="HHead2"/>
        <w:rPr>
          <w:lang w:val="en-GB"/>
        </w:rPr>
      </w:pPr>
      <w:r w:rsidRPr="008D59AC">
        <w:rPr>
          <w:lang w:val="en-GB"/>
        </w:rPr>
        <w:t xml:space="preserve">Investor protection </w:t>
      </w:r>
      <w:r w:rsidR="00B92E0E" w:rsidRPr="008D59AC">
        <w:rPr>
          <w:lang w:val="en-GB"/>
        </w:rPr>
        <w:t>variables</w:t>
      </w:r>
    </w:p>
    <w:p w:rsidR="009A60D1" w:rsidRPr="008D59AC" w:rsidRDefault="00F2495C" w:rsidP="00F2495C">
      <w:pPr>
        <w:pStyle w:val="HBodyText"/>
        <w:rPr>
          <w:lang w:val="en-GB"/>
        </w:rPr>
      </w:pPr>
      <w:r w:rsidRPr="008D59AC">
        <w:rPr>
          <w:lang w:val="en-GB"/>
        </w:rPr>
        <w:t>The used inv</w:t>
      </w:r>
      <w:r w:rsidR="00E765BB" w:rsidRPr="008D59AC">
        <w:rPr>
          <w:lang w:val="en-GB"/>
        </w:rPr>
        <w:t>estor protection variables are identical</w:t>
      </w:r>
      <w:r w:rsidR="00A83C9F" w:rsidRPr="008D59AC">
        <w:rPr>
          <w:lang w:val="en-GB"/>
        </w:rPr>
        <w:t xml:space="preserve"> to the variables used in Ho</w:t>
      </w:r>
      <w:r w:rsidRPr="008D59AC">
        <w:rPr>
          <w:lang w:val="en-GB"/>
        </w:rPr>
        <w:t>u</w:t>
      </w:r>
      <w:r w:rsidR="00A83C9F" w:rsidRPr="008D59AC">
        <w:rPr>
          <w:lang w:val="en-GB"/>
        </w:rPr>
        <w:t>q</w:t>
      </w:r>
      <w:r w:rsidRPr="008D59AC">
        <w:rPr>
          <w:lang w:val="en-GB"/>
        </w:rPr>
        <w:t xml:space="preserve">e et al. (2012). The variables are: </w:t>
      </w:r>
      <w:r w:rsidR="007B70FE" w:rsidRPr="008D59AC">
        <w:rPr>
          <w:lang w:val="en-GB"/>
        </w:rPr>
        <w:t>b</w:t>
      </w:r>
      <w:r w:rsidRPr="008D59AC">
        <w:rPr>
          <w:lang w:val="en-GB"/>
        </w:rPr>
        <w:t>o</w:t>
      </w:r>
      <w:r w:rsidR="007B70FE" w:rsidRPr="008D59AC">
        <w:rPr>
          <w:lang w:val="en-GB"/>
        </w:rPr>
        <w:t>ard independence, e</w:t>
      </w:r>
      <w:r w:rsidRPr="008D59AC">
        <w:rPr>
          <w:lang w:val="en-GB"/>
        </w:rPr>
        <w:t xml:space="preserve">nforcement of securities laws, </w:t>
      </w:r>
      <w:r w:rsidR="007B70FE" w:rsidRPr="008D59AC">
        <w:rPr>
          <w:lang w:val="en-GB"/>
        </w:rPr>
        <w:t>p</w:t>
      </w:r>
      <w:r w:rsidRPr="008D59AC">
        <w:rPr>
          <w:lang w:val="en-GB"/>
        </w:rPr>
        <w:t xml:space="preserve">rotection of minority shareholders’ interest, </w:t>
      </w:r>
      <w:r w:rsidR="007B70FE" w:rsidRPr="008D59AC">
        <w:rPr>
          <w:lang w:val="en-GB"/>
        </w:rPr>
        <w:t>e</w:t>
      </w:r>
      <w:r w:rsidRPr="008D59AC">
        <w:rPr>
          <w:lang w:val="en-GB"/>
        </w:rPr>
        <w:t xml:space="preserve">nforcement of accounting and auditing standards, </w:t>
      </w:r>
      <w:r w:rsidR="007B70FE" w:rsidRPr="008D59AC">
        <w:rPr>
          <w:lang w:val="en-GB"/>
        </w:rPr>
        <w:t>j</w:t>
      </w:r>
      <w:r w:rsidRPr="008D59AC">
        <w:rPr>
          <w:lang w:val="en-GB"/>
        </w:rPr>
        <w:t>udicial inde</w:t>
      </w:r>
      <w:r w:rsidR="00713DDD" w:rsidRPr="008D59AC">
        <w:rPr>
          <w:lang w:val="en-GB"/>
        </w:rPr>
        <w:t xml:space="preserve">pendence, and </w:t>
      </w:r>
      <w:r w:rsidR="007B70FE" w:rsidRPr="008D59AC">
        <w:rPr>
          <w:lang w:val="en-GB"/>
        </w:rPr>
        <w:t>f</w:t>
      </w:r>
      <w:r w:rsidR="00713DDD" w:rsidRPr="008D59AC">
        <w:rPr>
          <w:lang w:val="en-GB"/>
        </w:rPr>
        <w:t>reedom of press.</w:t>
      </w:r>
      <w:r w:rsidR="009A60D1" w:rsidRPr="008D59AC">
        <w:rPr>
          <w:lang w:val="en-GB"/>
        </w:rPr>
        <w:t xml:space="preserve"> </w:t>
      </w:r>
      <w:r w:rsidR="00583D5A" w:rsidRPr="008D59AC">
        <w:rPr>
          <w:lang w:val="en-GB"/>
        </w:rPr>
        <w:t>Houqe et al. (2012) argue that these six investor protection variables should be used instead of the more extensively used variables suggested by La Porta et al. (1998</w:t>
      </w:r>
      <w:r w:rsidR="002E5711" w:rsidRPr="008D59AC">
        <w:rPr>
          <w:lang w:val="en-GB"/>
        </w:rPr>
        <w:t>, 2006</w:t>
      </w:r>
      <w:r w:rsidR="00583D5A" w:rsidRPr="008D59AC">
        <w:rPr>
          <w:lang w:val="en-GB"/>
        </w:rPr>
        <w:t>),</w:t>
      </w:r>
      <w:r w:rsidR="00583D5A" w:rsidRPr="008D59AC">
        <w:rPr>
          <w:rStyle w:val="FootnoteReference"/>
          <w:lang w:val="en-GB"/>
        </w:rPr>
        <w:footnoteReference w:id="7"/>
      </w:r>
      <w:r w:rsidR="00583D5A" w:rsidRPr="008D59AC">
        <w:rPr>
          <w:lang w:val="en-GB"/>
        </w:rPr>
        <w:t xml:space="preserve"> as Spamann (2010) found substantial errors in</w:t>
      </w:r>
      <w:r w:rsidR="00873009" w:rsidRPr="008D59AC">
        <w:rPr>
          <w:lang w:val="en-GB"/>
        </w:rPr>
        <w:t xml:space="preserve"> </w:t>
      </w:r>
      <w:r w:rsidR="00E765BB" w:rsidRPr="008D59AC">
        <w:rPr>
          <w:lang w:val="en-GB"/>
        </w:rPr>
        <w:t>the measurement of</w:t>
      </w:r>
      <w:r w:rsidR="00583D5A" w:rsidRPr="008D59AC">
        <w:rPr>
          <w:lang w:val="en-GB"/>
        </w:rPr>
        <w:t xml:space="preserve"> one of the most used variable, ‘The Antidirector Right Index’. Spamann (2010) show</w:t>
      </w:r>
      <w:r w:rsidR="00765CF3" w:rsidRPr="008D59AC">
        <w:rPr>
          <w:lang w:val="en-GB"/>
        </w:rPr>
        <w:t xml:space="preserve">s </w:t>
      </w:r>
      <w:r w:rsidR="00583D5A" w:rsidRPr="008D59AC">
        <w:rPr>
          <w:lang w:val="en-GB"/>
        </w:rPr>
        <w:t xml:space="preserve">that a </w:t>
      </w:r>
      <w:r w:rsidR="008D59AC" w:rsidRPr="008D59AC">
        <w:rPr>
          <w:lang w:val="en-GB"/>
        </w:rPr>
        <w:t>re-examination</w:t>
      </w:r>
      <w:r w:rsidR="00583D5A" w:rsidRPr="008D59AC">
        <w:rPr>
          <w:lang w:val="en-GB"/>
        </w:rPr>
        <w:t xml:space="preserve"> of the data </w:t>
      </w:r>
      <w:r w:rsidR="00765CF3" w:rsidRPr="008D59AC">
        <w:rPr>
          <w:lang w:val="en-GB"/>
        </w:rPr>
        <w:t>causes</w:t>
      </w:r>
      <w:r w:rsidR="00583D5A" w:rsidRPr="008D59AC">
        <w:rPr>
          <w:lang w:val="en-GB"/>
        </w:rPr>
        <w:t xml:space="preserve"> corrections </w:t>
      </w:r>
      <w:r w:rsidR="00765CF3" w:rsidRPr="008D59AC">
        <w:rPr>
          <w:lang w:val="en-GB"/>
        </w:rPr>
        <w:t>to</w:t>
      </w:r>
      <w:r w:rsidR="00583D5A" w:rsidRPr="008D59AC">
        <w:rPr>
          <w:lang w:val="en-GB"/>
        </w:rPr>
        <w:t xml:space="preserve"> the majority of the countries </w:t>
      </w:r>
      <w:r w:rsidR="00765CF3" w:rsidRPr="008D59AC">
        <w:rPr>
          <w:lang w:val="en-GB"/>
        </w:rPr>
        <w:t>included</w:t>
      </w:r>
      <w:r w:rsidR="00583D5A" w:rsidRPr="008D59AC">
        <w:rPr>
          <w:lang w:val="en-GB"/>
        </w:rPr>
        <w:t xml:space="preserve"> in La Porta et al. (1998). </w:t>
      </w:r>
      <w:r w:rsidR="00873009" w:rsidRPr="008D59AC">
        <w:rPr>
          <w:lang w:val="en-GB"/>
        </w:rPr>
        <w:t xml:space="preserve">Thus, </w:t>
      </w:r>
      <w:r w:rsidR="00583D5A" w:rsidRPr="008D59AC">
        <w:rPr>
          <w:lang w:val="en-GB"/>
        </w:rPr>
        <w:t>Spamann (2010) argue</w:t>
      </w:r>
      <w:r w:rsidR="00765CF3" w:rsidRPr="008D59AC">
        <w:rPr>
          <w:lang w:val="en-GB"/>
        </w:rPr>
        <w:t>s</w:t>
      </w:r>
      <w:r w:rsidR="00583D5A" w:rsidRPr="008D59AC">
        <w:rPr>
          <w:lang w:val="en-GB"/>
        </w:rPr>
        <w:t xml:space="preserve"> that many empirical results using the La Porta et al. (1998) variables may not be replicated with corrected values. </w:t>
      </w:r>
      <w:r w:rsidR="00583D5A" w:rsidRPr="008D59AC">
        <w:rPr>
          <w:lang w:val="en-GB"/>
        </w:rPr>
        <w:lastRenderedPageBreak/>
        <w:t>Due to these concerns, this study will use the investor protection variables suggested by Houqe et al. (2012).</w:t>
      </w:r>
      <w:r w:rsidR="00735B33" w:rsidRPr="008D59AC">
        <w:rPr>
          <w:rStyle w:val="FootnoteReference"/>
          <w:lang w:val="en-GB"/>
        </w:rPr>
        <w:footnoteReference w:id="8"/>
      </w:r>
    </w:p>
    <w:p w:rsidR="00713DDD" w:rsidRPr="008D59AC" w:rsidRDefault="00713DDD" w:rsidP="00F2495C">
      <w:pPr>
        <w:pStyle w:val="HBodyText"/>
        <w:rPr>
          <w:lang w:val="en-GB"/>
        </w:rPr>
      </w:pPr>
      <w:r w:rsidRPr="008D59AC">
        <w:rPr>
          <w:lang w:val="en-GB"/>
        </w:rPr>
        <w:t xml:space="preserve">Board independence is a measure of corporate governance, where 1 indicates low management accountability and 7 indicates that investors and </w:t>
      </w:r>
      <w:r w:rsidR="007B70FE" w:rsidRPr="008D59AC">
        <w:rPr>
          <w:lang w:val="en-GB"/>
        </w:rPr>
        <w:t xml:space="preserve">the </w:t>
      </w:r>
      <w:r w:rsidRPr="008D59AC">
        <w:rPr>
          <w:lang w:val="en-GB"/>
        </w:rPr>
        <w:t xml:space="preserve">board </w:t>
      </w:r>
      <w:r w:rsidR="00A10CBD" w:rsidRPr="008D59AC">
        <w:rPr>
          <w:lang w:val="en-GB"/>
        </w:rPr>
        <w:t xml:space="preserve">have </w:t>
      </w:r>
      <w:r w:rsidR="007B70FE" w:rsidRPr="008D59AC">
        <w:rPr>
          <w:lang w:val="en-GB"/>
        </w:rPr>
        <w:t xml:space="preserve">the management strongly under supervision </w:t>
      </w:r>
      <w:r w:rsidRPr="008D59AC">
        <w:rPr>
          <w:lang w:val="en-GB"/>
        </w:rPr>
        <w:t>(Wor</w:t>
      </w:r>
      <w:r w:rsidR="00A07E5E" w:rsidRPr="008D59AC">
        <w:rPr>
          <w:lang w:val="en-GB"/>
        </w:rPr>
        <w:t>ld Economic Forum</w:t>
      </w:r>
      <w:r w:rsidR="00892CAA" w:rsidRPr="008D59AC">
        <w:rPr>
          <w:lang w:val="en-GB"/>
        </w:rPr>
        <w:t>,</w:t>
      </w:r>
      <w:r w:rsidRPr="008D59AC">
        <w:rPr>
          <w:lang w:val="en-GB"/>
        </w:rPr>
        <w:t xml:space="preserve"> 2012). Enforcement of securities laws is an aggregated measure of regulation of securities exchanges, where 1 indicates not transparent and ineffective regulation and 7 indicates transparent, effective, and independent regulation (World </w:t>
      </w:r>
      <w:r w:rsidR="00A07E5E" w:rsidRPr="008D59AC">
        <w:rPr>
          <w:lang w:val="en-GB"/>
        </w:rPr>
        <w:t>Economic Forum</w:t>
      </w:r>
      <w:r w:rsidR="00892CAA" w:rsidRPr="008D59AC">
        <w:rPr>
          <w:lang w:val="en-GB"/>
        </w:rPr>
        <w:t>,</w:t>
      </w:r>
      <w:r w:rsidRPr="008D59AC">
        <w:rPr>
          <w:lang w:val="en-GB"/>
        </w:rPr>
        <w:t xml:space="preserve"> 2012). Protection of minority shareholders’ interest measure</w:t>
      </w:r>
      <w:r w:rsidR="007B70FE" w:rsidRPr="008D59AC">
        <w:rPr>
          <w:lang w:val="en-GB"/>
        </w:rPr>
        <w:t>s</w:t>
      </w:r>
      <w:r w:rsidR="00256805" w:rsidRPr="008D59AC">
        <w:rPr>
          <w:lang w:val="en-GB"/>
        </w:rPr>
        <w:t xml:space="preserve"> the level of minority shareholders interest protection, where 1 indicates not protected by law and 7 indicates protected by law and actively enforced (World Economic Forum</w:t>
      </w:r>
      <w:r w:rsidR="00892CAA" w:rsidRPr="008D59AC">
        <w:rPr>
          <w:lang w:val="en-GB"/>
        </w:rPr>
        <w:t>,</w:t>
      </w:r>
      <w:r w:rsidR="00256805" w:rsidRPr="008D59AC">
        <w:rPr>
          <w:lang w:val="en-GB"/>
        </w:rPr>
        <w:t xml:space="preserve"> 2012). Enforcement of accounting and auditing standards measures enforcement of standards regarding financial performance, where 1 indicates extremely weak enforcement and 7</w:t>
      </w:r>
      <w:r w:rsidR="003236D2" w:rsidRPr="008D59AC">
        <w:rPr>
          <w:lang w:val="en-GB"/>
        </w:rPr>
        <w:t xml:space="preserve"> indicates</w:t>
      </w:r>
      <w:r w:rsidR="00256805" w:rsidRPr="008D59AC">
        <w:rPr>
          <w:lang w:val="en-GB"/>
        </w:rPr>
        <w:t xml:space="preserve"> extremely strong enforcement (World Economic Forum</w:t>
      </w:r>
      <w:r w:rsidR="00892CAA" w:rsidRPr="008D59AC">
        <w:rPr>
          <w:lang w:val="en-GB"/>
        </w:rPr>
        <w:t>,</w:t>
      </w:r>
      <w:r w:rsidR="00256805" w:rsidRPr="008D59AC">
        <w:rPr>
          <w:lang w:val="en-GB"/>
        </w:rPr>
        <w:t xml:space="preserve"> 2012). Judicial independence measures the efficiency and integrity of the legal environment as it affects business, where 1 indicates a low level of efficiency and integrity</w:t>
      </w:r>
      <w:r w:rsidR="005E7E63" w:rsidRPr="008D59AC">
        <w:rPr>
          <w:lang w:val="en-GB"/>
        </w:rPr>
        <w:t>,</w:t>
      </w:r>
      <w:r w:rsidR="00256805" w:rsidRPr="008D59AC">
        <w:rPr>
          <w:lang w:val="en-GB"/>
        </w:rPr>
        <w:t xml:space="preserve"> and 7 indicates</w:t>
      </w:r>
      <w:r w:rsidR="005E7E63" w:rsidRPr="008D59AC">
        <w:rPr>
          <w:lang w:val="en-GB"/>
        </w:rPr>
        <w:t xml:space="preserve"> a</w:t>
      </w:r>
      <w:r w:rsidR="00256805" w:rsidRPr="008D59AC">
        <w:rPr>
          <w:lang w:val="en-GB"/>
        </w:rPr>
        <w:t xml:space="preserve"> high level of efficiency and </w:t>
      </w:r>
      <w:r w:rsidR="00A07E5E" w:rsidRPr="008D59AC">
        <w:rPr>
          <w:lang w:val="en-GB"/>
        </w:rPr>
        <w:t>integrity (World Economic Forum</w:t>
      </w:r>
      <w:r w:rsidR="00892CAA" w:rsidRPr="008D59AC">
        <w:rPr>
          <w:lang w:val="en-GB"/>
        </w:rPr>
        <w:t>,</w:t>
      </w:r>
      <w:r w:rsidR="00256805" w:rsidRPr="008D59AC">
        <w:rPr>
          <w:lang w:val="en-GB"/>
        </w:rPr>
        <w:t xml:space="preserve"> 2012). Freedom of press measures the extent to which a country’s citizens </w:t>
      </w:r>
      <w:r w:rsidR="005E7E63" w:rsidRPr="008D59AC">
        <w:rPr>
          <w:lang w:val="en-GB"/>
        </w:rPr>
        <w:t>may select their government</w:t>
      </w:r>
      <w:r w:rsidR="00256805" w:rsidRPr="008D59AC">
        <w:rPr>
          <w:lang w:val="en-GB"/>
        </w:rPr>
        <w:t xml:space="preserve"> as well as freedom of expression, and free media, where higher values in</w:t>
      </w:r>
      <w:r w:rsidR="00A07E5E" w:rsidRPr="008D59AC">
        <w:rPr>
          <w:lang w:val="en-GB"/>
        </w:rPr>
        <w:t>dicate freedom (Kaufmann et al.</w:t>
      </w:r>
      <w:r w:rsidR="00892CAA" w:rsidRPr="008D59AC">
        <w:rPr>
          <w:lang w:val="en-GB"/>
        </w:rPr>
        <w:t>,</w:t>
      </w:r>
      <w:r w:rsidR="00256805" w:rsidRPr="008D59AC">
        <w:rPr>
          <w:lang w:val="en-GB"/>
        </w:rPr>
        <w:t xml:space="preserve"> 2009).</w:t>
      </w:r>
    </w:p>
    <w:p w:rsidR="00F2495C" w:rsidRPr="008D59AC" w:rsidRDefault="00256805" w:rsidP="00F2495C">
      <w:pPr>
        <w:pStyle w:val="HBodyText"/>
        <w:rPr>
          <w:lang w:val="en-GB"/>
        </w:rPr>
      </w:pPr>
      <w:r w:rsidRPr="008D59AC">
        <w:rPr>
          <w:lang w:val="en-GB"/>
        </w:rPr>
        <w:t xml:space="preserve"> </w:t>
      </w:r>
      <w:r w:rsidR="00D22E1E" w:rsidRPr="008D59AC">
        <w:rPr>
          <w:lang w:val="en-GB"/>
        </w:rPr>
        <w:t>(INSERT TABLE 3</w:t>
      </w:r>
      <w:r w:rsidR="00F2495C" w:rsidRPr="008D59AC">
        <w:rPr>
          <w:lang w:val="en-GB"/>
        </w:rPr>
        <w:t xml:space="preserve"> ABOUT HERE)</w:t>
      </w:r>
    </w:p>
    <w:p w:rsidR="00B92E0E" w:rsidRPr="008D59AC" w:rsidRDefault="00D22E1E" w:rsidP="00B92E0E">
      <w:pPr>
        <w:pStyle w:val="HBodyText"/>
        <w:rPr>
          <w:lang w:val="en-GB"/>
        </w:rPr>
      </w:pPr>
      <w:r w:rsidRPr="008D59AC">
        <w:rPr>
          <w:lang w:val="en-GB"/>
        </w:rPr>
        <w:t>(INSERT TABLE 4</w:t>
      </w:r>
      <w:r w:rsidR="009272BB" w:rsidRPr="008D59AC">
        <w:rPr>
          <w:lang w:val="en-GB"/>
        </w:rPr>
        <w:t xml:space="preserve"> </w:t>
      </w:r>
      <w:r w:rsidR="00B92E0E" w:rsidRPr="008D59AC">
        <w:rPr>
          <w:lang w:val="en-GB"/>
        </w:rPr>
        <w:t>ABOUT HERE)</w:t>
      </w:r>
    </w:p>
    <w:p w:rsidR="00E410F8" w:rsidRPr="008D59AC" w:rsidRDefault="00D22E1E" w:rsidP="00F2495C">
      <w:pPr>
        <w:pStyle w:val="HBodyText"/>
        <w:rPr>
          <w:lang w:val="en-GB"/>
        </w:rPr>
      </w:pPr>
      <w:r w:rsidRPr="008D59AC">
        <w:rPr>
          <w:lang w:val="en-GB"/>
        </w:rPr>
        <w:t>Table 3</w:t>
      </w:r>
      <w:r w:rsidR="00F2495C" w:rsidRPr="008D59AC">
        <w:rPr>
          <w:lang w:val="en-GB"/>
        </w:rPr>
        <w:t xml:space="preserve"> presents the</w:t>
      </w:r>
      <w:r w:rsidRPr="008D59AC">
        <w:rPr>
          <w:lang w:val="en-GB"/>
        </w:rPr>
        <w:t xml:space="preserve"> number of observations, the</w:t>
      </w:r>
      <w:r w:rsidR="00F2495C" w:rsidRPr="008D59AC">
        <w:rPr>
          <w:lang w:val="en-GB"/>
        </w:rPr>
        <w:t xml:space="preserve"> values of the six investor protection variables</w:t>
      </w:r>
      <w:r w:rsidR="00E410F8" w:rsidRPr="008D59AC">
        <w:rPr>
          <w:lang w:val="en-GB"/>
        </w:rPr>
        <w:t xml:space="preserve"> as well as the </w:t>
      </w:r>
      <w:r w:rsidRPr="008D59AC">
        <w:rPr>
          <w:lang w:val="en-GB"/>
        </w:rPr>
        <w:t>average of the six investor protection variables</w:t>
      </w:r>
      <w:r w:rsidR="00F2495C" w:rsidRPr="008D59AC">
        <w:rPr>
          <w:lang w:val="en-GB"/>
        </w:rPr>
        <w:t xml:space="preserve"> for every single country</w:t>
      </w:r>
      <w:r w:rsidR="00E410F8" w:rsidRPr="008D59AC">
        <w:rPr>
          <w:lang w:val="en-GB"/>
        </w:rPr>
        <w:t xml:space="preserve"> included in the study</w:t>
      </w:r>
      <w:r w:rsidR="00F2495C" w:rsidRPr="008D59AC">
        <w:rPr>
          <w:lang w:val="en-GB"/>
        </w:rPr>
        <w:t>.</w:t>
      </w:r>
      <w:r w:rsidRPr="008D59AC">
        <w:rPr>
          <w:lang w:val="en-GB"/>
        </w:rPr>
        <w:t xml:space="preserve"> The UK (1</w:t>
      </w:r>
      <w:r w:rsidR="00663FD7" w:rsidRPr="008D59AC">
        <w:rPr>
          <w:lang w:val="en-GB"/>
        </w:rPr>
        <w:t>03),</w:t>
      </w:r>
      <w:r w:rsidRPr="008D59AC">
        <w:rPr>
          <w:lang w:val="en-GB"/>
        </w:rPr>
        <w:t xml:space="preserve"> Canada (94</w:t>
      </w:r>
      <w:r w:rsidR="00663FD7" w:rsidRPr="008D59AC">
        <w:rPr>
          <w:lang w:val="en-GB"/>
        </w:rPr>
        <w:t>), and Italy (69) have the most firm-year observations and Morocco (1), Bahrain (3), and Slovakia (3) has the fewest observations. From the average scores of the six investor protection variables it can be observed that countries with the highest investor protection have an average above 5 and the countries with the weakest investor protection have an average below 4.</w:t>
      </w:r>
      <w:r w:rsidR="007224E8" w:rsidRPr="008D59AC">
        <w:rPr>
          <w:lang w:val="en-GB"/>
        </w:rPr>
        <w:t xml:space="preserve"> </w:t>
      </w:r>
      <w:r w:rsidR="00663FD7" w:rsidRPr="008D59AC">
        <w:rPr>
          <w:lang w:val="en-GB"/>
        </w:rPr>
        <w:t xml:space="preserve">The </w:t>
      </w:r>
      <w:r w:rsidR="00663FD7" w:rsidRPr="008D59AC">
        <w:rPr>
          <w:lang w:val="en-GB"/>
        </w:rPr>
        <w:lastRenderedPageBreak/>
        <w:t xml:space="preserve">countries with the highest averages are Finland (5.33), Norway (5.18), and South Africa (5.13) and the countries with the lowest averages are Russia (2.62), Greece (3.35), and Kenya (3.35). </w:t>
      </w:r>
    </w:p>
    <w:p w:rsidR="00F2495C" w:rsidRPr="008D59AC" w:rsidRDefault="0088783A" w:rsidP="00F2495C">
      <w:pPr>
        <w:pStyle w:val="HBodyText"/>
        <w:rPr>
          <w:lang w:val="en-GB"/>
        </w:rPr>
      </w:pPr>
      <w:r w:rsidRPr="008D59AC">
        <w:rPr>
          <w:lang w:val="en-GB"/>
        </w:rPr>
        <w:t>Panel A in Table 4</w:t>
      </w:r>
      <w:r w:rsidR="000264AD" w:rsidRPr="008D59AC">
        <w:rPr>
          <w:lang w:val="en-GB"/>
        </w:rPr>
        <w:t xml:space="preserve"> presents descriptive statistics of the investor protection variables included in this study. Regarding investor protection, it seems that the countries are fairly heterogeneous. The difference be</w:t>
      </w:r>
      <w:r w:rsidR="0046446F" w:rsidRPr="008D59AC">
        <w:rPr>
          <w:lang w:val="en-GB"/>
        </w:rPr>
        <w:t>tween the 25</w:t>
      </w:r>
      <w:r w:rsidR="0046446F" w:rsidRPr="008D59AC">
        <w:rPr>
          <w:vertAlign w:val="superscript"/>
          <w:lang w:val="en-GB"/>
        </w:rPr>
        <w:t>th</w:t>
      </w:r>
      <w:r w:rsidR="0046446F" w:rsidRPr="008D59AC">
        <w:rPr>
          <w:lang w:val="en-GB"/>
        </w:rPr>
        <w:t xml:space="preserve"> and 75</w:t>
      </w:r>
      <w:r w:rsidR="0046446F" w:rsidRPr="008D59AC">
        <w:rPr>
          <w:vertAlign w:val="superscript"/>
          <w:lang w:val="en-GB"/>
        </w:rPr>
        <w:t>th</w:t>
      </w:r>
      <w:r w:rsidR="0046446F" w:rsidRPr="008D59AC">
        <w:rPr>
          <w:lang w:val="en-GB"/>
        </w:rPr>
        <w:t xml:space="preserve"> percentile is</w:t>
      </w:r>
      <w:r w:rsidR="000264AD" w:rsidRPr="008D59AC">
        <w:rPr>
          <w:lang w:val="en-GB"/>
        </w:rPr>
        <w:t xml:space="preserve"> high</w:t>
      </w:r>
      <w:r w:rsidR="002C53D7" w:rsidRPr="008D59AC">
        <w:rPr>
          <w:lang w:val="en-GB"/>
        </w:rPr>
        <w:t xml:space="preserve"> for every variable</w:t>
      </w:r>
      <w:r w:rsidR="000264AD" w:rsidRPr="008D59AC">
        <w:rPr>
          <w:lang w:val="en-GB"/>
        </w:rPr>
        <w:t xml:space="preserve">. </w:t>
      </w:r>
      <w:r w:rsidR="00F2495C" w:rsidRPr="008D59AC">
        <w:rPr>
          <w:lang w:val="en-GB"/>
        </w:rPr>
        <w:t>A correlation analysis</w:t>
      </w:r>
      <w:r w:rsidRPr="008D59AC">
        <w:rPr>
          <w:lang w:val="en-GB"/>
        </w:rPr>
        <w:t xml:space="preserve"> in Panel B of Table 4</w:t>
      </w:r>
      <w:r w:rsidR="00F2495C" w:rsidRPr="008D59AC">
        <w:rPr>
          <w:lang w:val="en-GB"/>
        </w:rPr>
        <w:t xml:space="preserve"> shows that the </w:t>
      </w:r>
      <w:r w:rsidR="000264AD" w:rsidRPr="008D59AC">
        <w:rPr>
          <w:lang w:val="en-GB"/>
        </w:rPr>
        <w:t xml:space="preserve">investor protection </w:t>
      </w:r>
      <w:r w:rsidR="00F2495C" w:rsidRPr="008D59AC">
        <w:rPr>
          <w:lang w:val="en-GB"/>
        </w:rPr>
        <w:t>variables are highly correlated with each other. The correlation</w:t>
      </w:r>
      <w:r w:rsidR="000264AD" w:rsidRPr="008D59AC">
        <w:rPr>
          <w:lang w:val="en-GB"/>
        </w:rPr>
        <w:t>s vary between 0.303 and 0.906</w:t>
      </w:r>
      <w:r w:rsidR="00F2495C" w:rsidRPr="008D59AC">
        <w:rPr>
          <w:lang w:val="en-GB"/>
        </w:rPr>
        <w:t>, indicating that if a country has a high value of</w:t>
      </w:r>
      <w:r w:rsidR="005E7E63" w:rsidRPr="008D59AC">
        <w:rPr>
          <w:lang w:val="en-GB"/>
        </w:rPr>
        <w:t xml:space="preserve"> one</w:t>
      </w:r>
      <w:r w:rsidR="00F2495C" w:rsidRPr="008D59AC">
        <w:rPr>
          <w:lang w:val="en-GB"/>
        </w:rPr>
        <w:t xml:space="preserve"> variable</w:t>
      </w:r>
      <w:r w:rsidR="005E7E63" w:rsidRPr="008D59AC">
        <w:rPr>
          <w:lang w:val="en-GB"/>
        </w:rPr>
        <w:t>,</w:t>
      </w:r>
      <w:r w:rsidR="00F2495C" w:rsidRPr="008D59AC">
        <w:rPr>
          <w:lang w:val="en-GB"/>
        </w:rPr>
        <w:t xml:space="preserve"> it </w:t>
      </w:r>
      <w:r w:rsidR="00724585" w:rsidRPr="008D59AC">
        <w:rPr>
          <w:lang w:val="en-GB"/>
        </w:rPr>
        <w:t xml:space="preserve">is very </w:t>
      </w:r>
      <w:r w:rsidR="005E7E63" w:rsidRPr="008D59AC">
        <w:rPr>
          <w:lang w:val="en-GB"/>
        </w:rPr>
        <w:t xml:space="preserve">likely that </w:t>
      </w:r>
      <w:r w:rsidR="00724585" w:rsidRPr="008D59AC">
        <w:rPr>
          <w:lang w:val="en-GB"/>
        </w:rPr>
        <w:t>to have</w:t>
      </w:r>
      <w:r w:rsidR="00F2495C" w:rsidRPr="008D59AC">
        <w:rPr>
          <w:lang w:val="en-GB"/>
        </w:rPr>
        <w:t xml:space="preserve"> high values on the rest of the variables.</w:t>
      </w:r>
      <w:r w:rsidR="000264AD" w:rsidRPr="008D59AC">
        <w:rPr>
          <w:lang w:val="en-GB"/>
        </w:rPr>
        <w:t xml:space="preserve"> </w:t>
      </w:r>
      <w:r w:rsidRPr="008D59AC">
        <w:rPr>
          <w:lang w:val="en-GB"/>
        </w:rPr>
        <w:t>In Panel B of Table 4</w:t>
      </w:r>
      <w:r w:rsidR="00E5794C" w:rsidRPr="008D59AC">
        <w:rPr>
          <w:lang w:val="en-GB"/>
        </w:rPr>
        <w:t xml:space="preserve"> the Pearson’s correlations are presented above the diagonal and</w:t>
      </w:r>
      <w:r w:rsidR="000264AD" w:rsidRPr="008D59AC">
        <w:rPr>
          <w:lang w:val="en-GB"/>
        </w:rPr>
        <w:t xml:space="preserve"> the Spearman’s correlations</w:t>
      </w:r>
      <w:r w:rsidR="00E5794C" w:rsidRPr="008D59AC">
        <w:rPr>
          <w:lang w:val="en-GB"/>
        </w:rPr>
        <w:t xml:space="preserve"> are presented below the diagonal</w:t>
      </w:r>
      <w:r w:rsidR="000264AD" w:rsidRPr="008D59AC">
        <w:rPr>
          <w:lang w:val="en-GB"/>
        </w:rPr>
        <w:t>.</w:t>
      </w:r>
      <w:r w:rsidR="00F2495C" w:rsidRPr="008D59AC">
        <w:rPr>
          <w:lang w:val="en-GB"/>
        </w:rPr>
        <w:t xml:space="preserve"> A cluster analysis groups the countries in three separate clusters depending on the values of the investor protection variables.</w:t>
      </w:r>
      <w:r w:rsidR="000264AD" w:rsidRPr="008D59AC">
        <w:rPr>
          <w:lang w:val="en-GB"/>
        </w:rPr>
        <w:t xml:space="preserve"> </w:t>
      </w:r>
      <w:r w:rsidR="00F2495C" w:rsidRPr="008D59AC">
        <w:rPr>
          <w:lang w:val="en-GB"/>
        </w:rPr>
        <w:t xml:space="preserve">The </w:t>
      </w:r>
      <w:r w:rsidR="00F7385B" w:rsidRPr="008D59AC">
        <w:rPr>
          <w:lang w:val="en-GB"/>
        </w:rPr>
        <w:t>classification does</w:t>
      </w:r>
      <w:r w:rsidR="00F2495C" w:rsidRPr="008D59AC">
        <w:rPr>
          <w:lang w:val="en-GB"/>
        </w:rPr>
        <w:t xml:space="preserve"> only tell the relative investor protection environment within the sample. </w:t>
      </w:r>
      <w:r w:rsidR="00F7385B" w:rsidRPr="008D59AC">
        <w:rPr>
          <w:lang w:val="en-GB"/>
        </w:rPr>
        <w:t>Hence, a strong investor protection environment indicates that the country has a strong investor protection relative to the countries classified as medium or weak investor protection</w:t>
      </w:r>
      <w:r w:rsidR="00467FF4" w:rsidRPr="008D59AC">
        <w:rPr>
          <w:lang w:val="en-GB"/>
        </w:rPr>
        <w:t>, and</w:t>
      </w:r>
      <w:r w:rsidR="00F7385B" w:rsidRPr="008D59AC">
        <w:rPr>
          <w:lang w:val="en-GB"/>
        </w:rPr>
        <w:t xml:space="preserve"> not relative to all countries in the World. However, as the sample countries represent both the strongest and the weakest investor protection environments according to the World Economic Fo</w:t>
      </w:r>
      <w:r w:rsidR="00FF3E8A" w:rsidRPr="008D59AC">
        <w:rPr>
          <w:lang w:val="en-GB"/>
        </w:rPr>
        <w:t>rum development report (2012), it is suggested that the findings in this study could be generalized.</w:t>
      </w:r>
    </w:p>
    <w:p w:rsidR="000437CC" w:rsidRPr="008D59AC" w:rsidRDefault="00C817CD" w:rsidP="000437CC">
      <w:pPr>
        <w:pStyle w:val="HHead2"/>
        <w:rPr>
          <w:lang w:val="en-GB"/>
        </w:rPr>
      </w:pPr>
      <w:r w:rsidRPr="008D59AC">
        <w:rPr>
          <w:lang w:val="en-GB"/>
        </w:rPr>
        <w:t>Research design</w:t>
      </w:r>
    </w:p>
    <w:p w:rsidR="0070256D" w:rsidRPr="008D59AC" w:rsidRDefault="0070256D" w:rsidP="0070256D">
      <w:pPr>
        <w:pStyle w:val="HBodyText"/>
        <w:rPr>
          <w:lang w:val="en-GB"/>
        </w:rPr>
      </w:pPr>
      <w:r w:rsidRPr="008D59AC">
        <w:rPr>
          <w:lang w:val="en-GB"/>
        </w:rPr>
        <w:t>Accounting numbers are considered value relevant if they have a predicted association with equity market values (Barth et al., 2001). The primary purpose of value relevance studies is to increase stakeholders’ knowledge regarding the relevance and reliability of accounting numbers (Barth et al., 2001). Previous studies examine the value relevance of the book value of equity and earnings (Aharnoy et al., 2010). These studies shed light on how useful the accounting numbers are to equity investors. Song et al. (2010) argue that the significant association between accounting numbers and the market value of equity indicates that the accounting numbers are enough relevant and reliable to be reflected in share prices.</w:t>
      </w:r>
    </w:p>
    <w:p w:rsidR="004A2882" w:rsidRPr="008D59AC" w:rsidRDefault="0095760B" w:rsidP="004A2882">
      <w:pPr>
        <w:pStyle w:val="HBodyText"/>
        <w:rPr>
          <w:lang w:val="en-GB"/>
        </w:rPr>
      </w:pPr>
      <w:r w:rsidRPr="008D59AC">
        <w:rPr>
          <w:lang w:val="en-GB"/>
        </w:rPr>
        <w:t xml:space="preserve">To test the value relevance of </w:t>
      </w:r>
      <w:r w:rsidR="00C96A52" w:rsidRPr="008D59AC">
        <w:rPr>
          <w:lang w:val="en-GB"/>
        </w:rPr>
        <w:t>fair values</w:t>
      </w:r>
      <w:r w:rsidRPr="008D59AC">
        <w:rPr>
          <w:lang w:val="en-GB"/>
        </w:rPr>
        <w:t>, a modified Ohlson (1995)</w:t>
      </w:r>
      <w:r w:rsidR="00C96A52" w:rsidRPr="008D59AC">
        <w:rPr>
          <w:rStyle w:val="FootnoteReference"/>
          <w:lang w:val="en-GB"/>
        </w:rPr>
        <w:footnoteReference w:id="9"/>
      </w:r>
      <w:r w:rsidRPr="008D59AC">
        <w:rPr>
          <w:lang w:val="en-GB"/>
        </w:rPr>
        <w:t xml:space="preserve"> model is applied o</w:t>
      </w:r>
      <w:r w:rsidR="00546B13" w:rsidRPr="008D59AC">
        <w:rPr>
          <w:lang w:val="en-GB"/>
        </w:rPr>
        <w:t>n the accounting numbers in</w:t>
      </w:r>
      <w:r w:rsidR="00E4553A" w:rsidRPr="008D59AC">
        <w:rPr>
          <w:lang w:val="en-GB"/>
        </w:rPr>
        <w:t xml:space="preserve"> 2012-2014</w:t>
      </w:r>
      <w:r w:rsidRPr="008D59AC">
        <w:rPr>
          <w:lang w:val="en-GB"/>
        </w:rPr>
        <w:t xml:space="preserve"> financial statements.</w:t>
      </w:r>
      <w:r w:rsidR="005A3760" w:rsidRPr="008D59AC">
        <w:rPr>
          <w:lang w:val="en-GB"/>
        </w:rPr>
        <w:t xml:space="preserve"> Following the model used by Song et al. (2010)</w:t>
      </w:r>
      <w:r w:rsidR="00F35BD5" w:rsidRPr="008D59AC">
        <w:rPr>
          <w:lang w:val="en-GB"/>
        </w:rPr>
        <w:t xml:space="preserve"> and Goh </w:t>
      </w:r>
      <w:r w:rsidR="00F35BD5" w:rsidRPr="008D59AC">
        <w:rPr>
          <w:lang w:val="en-GB"/>
        </w:rPr>
        <w:lastRenderedPageBreak/>
        <w:t>et al. (201</w:t>
      </w:r>
      <w:r w:rsidR="00765B24" w:rsidRPr="008D59AC">
        <w:rPr>
          <w:lang w:val="en-GB"/>
        </w:rPr>
        <w:t>5</w:t>
      </w:r>
      <w:r w:rsidR="00F35BD5" w:rsidRPr="008D59AC">
        <w:rPr>
          <w:lang w:val="en-GB"/>
        </w:rPr>
        <w:t>)</w:t>
      </w:r>
      <w:r w:rsidR="005A3760" w:rsidRPr="008D59AC">
        <w:rPr>
          <w:lang w:val="en-GB"/>
        </w:rPr>
        <w:t>, the</w:t>
      </w:r>
      <w:r w:rsidR="00782979" w:rsidRPr="008D59AC">
        <w:rPr>
          <w:lang w:val="en-GB"/>
        </w:rPr>
        <w:t xml:space="preserve"> market</w:t>
      </w:r>
      <w:r w:rsidR="005A3760" w:rsidRPr="008D59AC">
        <w:rPr>
          <w:lang w:val="en-GB"/>
        </w:rPr>
        <w:t xml:space="preserve"> value of equity is </w:t>
      </w:r>
      <w:r w:rsidR="00546B13" w:rsidRPr="008D59AC">
        <w:rPr>
          <w:lang w:val="en-GB"/>
        </w:rPr>
        <w:t>regressed on</w:t>
      </w:r>
      <w:r w:rsidR="005A3760" w:rsidRPr="008D59AC">
        <w:rPr>
          <w:lang w:val="en-GB"/>
        </w:rPr>
        <w:t xml:space="preserve"> </w:t>
      </w:r>
      <w:r w:rsidR="00546B13" w:rsidRPr="008D59AC">
        <w:rPr>
          <w:lang w:val="en-GB"/>
        </w:rPr>
        <w:t>non-fair values, fair values, and earnings</w:t>
      </w:r>
      <w:r w:rsidR="005A3760" w:rsidRPr="008D59AC">
        <w:rPr>
          <w:lang w:val="en-GB"/>
        </w:rPr>
        <w:t xml:space="preserve">. </w:t>
      </w:r>
      <w:r w:rsidRPr="008D59AC">
        <w:rPr>
          <w:lang w:val="en-GB"/>
        </w:rPr>
        <w:t>In order to reduce scale effects</w:t>
      </w:r>
      <w:r w:rsidR="005A3760" w:rsidRPr="008D59AC">
        <w:rPr>
          <w:lang w:val="en-GB"/>
        </w:rPr>
        <w:t>, all variables have been share-deflated as proposed by Barth and Clinch (2009</w:t>
      </w:r>
      <w:r w:rsidR="00C96A52" w:rsidRPr="008D59AC">
        <w:rPr>
          <w:lang w:val="en-GB"/>
        </w:rPr>
        <w:t>)</w:t>
      </w:r>
      <w:r w:rsidR="000F1695" w:rsidRPr="008D59AC">
        <w:rPr>
          <w:lang w:val="en-GB"/>
        </w:rPr>
        <w:t>.</w:t>
      </w:r>
      <w:r w:rsidR="005A3760" w:rsidRPr="008D59AC">
        <w:rPr>
          <w:lang w:val="en-GB"/>
        </w:rPr>
        <w:t xml:space="preserve"> </w:t>
      </w:r>
      <w:r w:rsidR="00E879D9" w:rsidRPr="008D59AC">
        <w:rPr>
          <w:lang w:val="en-GB"/>
        </w:rPr>
        <w:t xml:space="preserve">The </w:t>
      </w:r>
      <w:r w:rsidR="00CB6768" w:rsidRPr="008D59AC">
        <w:rPr>
          <w:lang w:val="en-GB"/>
        </w:rPr>
        <w:t>following</w:t>
      </w:r>
      <w:r w:rsidR="00E879D9" w:rsidRPr="008D59AC">
        <w:rPr>
          <w:lang w:val="en-GB"/>
        </w:rPr>
        <w:t xml:space="preserve"> mo</w:t>
      </w:r>
      <w:r w:rsidR="00D42004" w:rsidRPr="008D59AC">
        <w:rPr>
          <w:lang w:val="en-GB"/>
        </w:rPr>
        <w:t xml:space="preserve">del </w:t>
      </w:r>
      <w:r w:rsidR="00CB6768" w:rsidRPr="008D59AC">
        <w:rPr>
          <w:lang w:val="en-GB"/>
        </w:rPr>
        <w:t xml:space="preserve">is </w:t>
      </w:r>
      <w:r w:rsidR="00D42004" w:rsidRPr="008D59AC">
        <w:rPr>
          <w:lang w:val="en-GB"/>
        </w:rPr>
        <w:t>used to test the hypotheses</w:t>
      </w:r>
      <w:r w:rsidR="00E879D9" w:rsidRPr="008D59AC">
        <w:rPr>
          <w:lang w:val="en-GB"/>
        </w:rPr>
        <w:t>:</w:t>
      </w:r>
    </w:p>
    <w:p w:rsidR="009A76C4" w:rsidRPr="008D59AC" w:rsidRDefault="00513FBE" w:rsidP="0049795A">
      <w:pPr>
        <w:pStyle w:val="HBodyText"/>
        <w:jc w:val="center"/>
        <w:rPr>
          <w:lang w:val="en-GB"/>
        </w:rPr>
      </w:pPr>
      <m:oMath>
        <m:sSub>
          <m:sSubPr>
            <m:ctrlPr>
              <w:rPr>
                <w:rFonts w:ascii="Cambria Math" w:hAnsi="Cambria Math"/>
                <w:i/>
                <w:lang w:val="en-GB"/>
              </w:rPr>
            </m:ctrlPr>
          </m:sSubPr>
          <m:e>
            <m:r>
              <w:rPr>
                <w:rFonts w:ascii="Cambria Math" w:hAnsi="Cambria Math"/>
                <w:lang w:val="en-GB"/>
              </w:rPr>
              <m:t>Price</m:t>
            </m:r>
          </m:e>
          <m:sub>
            <m:r>
              <w:rPr>
                <w:rFonts w:ascii="Cambria Math" w:hAnsi="Cambria Math"/>
                <w:lang w:val="en-GB"/>
              </w:rPr>
              <m:t>it</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0</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sSub>
          <m:sSubPr>
            <m:ctrlPr>
              <w:rPr>
                <w:rFonts w:ascii="Cambria Math" w:hAnsi="Cambria Math"/>
                <w:i/>
                <w:lang w:val="en-GB"/>
              </w:rPr>
            </m:ctrlPr>
          </m:sSubPr>
          <m:e>
            <m:r>
              <w:rPr>
                <w:rFonts w:ascii="Cambria Math" w:hAnsi="Cambria Math"/>
                <w:lang w:val="en-GB"/>
              </w:rPr>
              <m:t>NFVA</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sSub>
          <m:sSubPr>
            <m:ctrlPr>
              <w:rPr>
                <w:rFonts w:ascii="Cambria Math" w:hAnsi="Cambria Math"/>
                <w:i/>
                <w:lang w:val="en-GB"/>
              </w:rPr>
            </m:ctrlPr>
          </m:sSubPr>
          <m:e>
            <m:r>
              <w:rPr>
                <w:rFonts w:ascii="Cambria Math" w:hAnsi="Cambria Math"/>
                <w:lang w:val="en-GB"/>
              </w:rPr>
              <m:t>FVA1</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sSub>
          <m:sSubPr>
            <m:ctrlPr>
              <w:rPr>
                <w:rFonts w:ascii="Cambria Math" w:hAnsi="Cambria Math"/>
                <w:i/>
                <w:lang w:val="en-GB"/>
              </w:rPr>
            </m:ctrlPr>
          </m:sSubPr>
          <m:e>
            <m:r>
              <w:rPr>
                <w:rFonts w:ascii="Cambria Math" w:hAnsi="Cambria Math"/>
                <w:lang w:val="en-GB"/>
              </w:rPr>
              <m:t>FVA2</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sSub>
          <m:sSubPr>
            <m:ctrlPr>
              <w:rPr>
                <w:rFonts w:ascii="Cambria Math" w:hAnsi="Cambria Math"/>
                <w:i/>
                <w:lang w:val="en-GB"/>
              </w:rPr>
            </m:ctrlPr>
          </m:sSubPr>
          <m:e>
            <m:r>
              <w:rPr>
                <w:rFonts w:ascii="Cambria Math" w:hAnsi="Cambria Math"/>
                <w:lang w:val="en-GB"/>
              </w:rPr>
              <m:t>FVA3</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5</m:t>
            </m:r>
          </m:sub>
        </m:sSub>
        <m:sSub>
          <m:sSubPr>
            <m:ctrlPr>
              <w:rPr>
                <w:rFonts w:ascii="Cambria Math" w:hAnsi="Cambria Math"/>
                <w:i/>
                <w:lang w:val="en-GB"/>
              </w:rPr>
            </m:ctrlPr>
          </m:sSubPr>
          <m:e>
            <m:r>
              <w:rPr>
                <w:rFonts w:ascii="Cambria Math" w:hAnsi="Cambria Math"/>
                <w:lang w:val="en-GB"/>
              </w:rPr>
              <m:t>NFVL</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6</m:t>
            </m:r>
          </m:sub>
        </m:sSub>
        <m:sSub>
          <m:sSubPr>
            <m:ctrlPr>
              <w:rPr>
                <w:rFonts w:ascii="Cambria Math" w:hAnsi="Cambria Math"/>
                <w:i/>
                <w:lang w:val="en-GB"/>
              </w:rPr>
            </m:ctrlPr>
          </m:sSubPr>
          <m:e>
            <m:r>
              <w:rPr>
                <w:rFonts w:ascii="Cambria Math" w:hAnsi="Cambria Math"/>
                <w:lang w:val="en-GB"/>
              </w:rPr>
              <m:t>FVL12</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7</m:t>
            </m:r>
          </m:sub>
        </m:sSub>
        <m:sSub>
          <m:sSubPr>
            <m:ctrlPr>
              <w:rPr>
                <w:rFonts w:ascii="Cambria Math" w:hAnsi="Cambria Math"/>
                <w:i/>
                <w:lang w:val="en-GB"/>
              </w:rPr>
            </m:ctrlPr>
          </m:sSubPr>
          <m:e>
            <m:r>
              <w:rPr>
                <w:rFonts w:ascii="Cambria Math" w:hAnsi="Cambria Math"/>
                <w:lang w:val="en-GB"/>
              </w:rPr>
              <m:t>FVL3</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8</m:t>
            </m:r>
          </m:sub>
        </m:sSub>
        <m:sSub>
          <m:sSubPr>
            <m:ctrlPr>
              <w:rPr>
                <w:rFonts w:ascii="Cambria Math" w:hAnsi="Cambria Math"/>
                <w:i/>
                <w:lang w:val="en-GB"/>
              </w:rPr>
            </m:ctrlPr>
          </m:sSubPr>
          <m:e>
            <m:r>
              <w:rPr>
                <w:rFonts w:ascii="Cambria Math" w:hAnsi="Cambria Math"/>
                <w:lang w:val="en-GB"/>
              </w:rPr>
              <m:t>EPS</m:t>
            </m:r>
          </m:e>
          <m:sub>
            <m:r>
              <w:rPr>
                <w:rFonts w:ascii="Cambria Math" w:hAnsi="Cambria Math"/>
                <w:lang w:val="en-GB"/>
              </w:rPr>
              <m:t>it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ε</m:t>
            </m:r>
          </m:e>
          <m:sub>
            <m:r>
              <w:rPr>
                <w:rFonts w:ascii="Cambria Math" w:hAnsi="Cambria Math"/>
                <w:lang w:val="en-GB"/>
              </w:rPr>
              <m:t>it</m:t>
            </m:r>
          </m:sub>
        </m:sSub>
      </m:oMath>
      <w:r w:rsidR="0049795A" w:rsidRPr="008D59AC">
        <w:rPr>
          <w:lang w:val="en-GB"/>
        </w:rPr>
        <w:tab/>
        <w:t>(1)</w:t>
      </w:r>
    </w:p>
    <w:p w:rsidR="001C54F3" w:rsidRPr="008D59AC" w:rsidRDefault="00AB55DF" w:rsidP="00C817CD">
      <w:pPr>
        <w:pStyle w:val="HBodyText"/>
        <w:rPr>
          <w:lang w:val="en-GB"/>
        </w:rPr>
      </w:pPr>
      <w:r w:rsidRPr="008D59AC">
        <w:rPr>
          <w:i/>
          <w:lang w:val="en-GB"/>
        </w:rPr>
        <w:t>Price</w:t>
      </w:r>
      <w:r w:rsidRPr="008D59AC">
        <w:rPr>
          <w:i/>
          <w:vertAlign w:val="subscript"/>
          <w:lang w:val="en-GB"/>
        </w:rPr>
        <w:t>i</w:t>
      </w:r>
      <w:r w:rsidRPr="008D59AC">
        <w:rPr>
          <w:vertAlign w:val="subscript"/>
          <w:lang w:val="en-GB"/>
        </w:rPr>
        <w:t>t</w:t>
      </w:r>
      <w:r w:rsidR="00844EC4" w:rsidRPr="008D59AC">
        <w:rPr>
          <w:lang w:val="en-GB"/>
        </w:rPr>
        <w:t xml:space="preserve"> is the price of a</w:t>
      </w:r>
      <w:r w:rsidRPr="008D59AC">
        <w:rPr>
          <w:lang w:val="en-GB"/>
        </w:rPr>
        <w:t xml:space="preserve"> share of </w:t>
      </w:r>
      <w:r w:rsidR="00DC2DB9" w:rsidRPr="008D59AC">
        <w:rPr>
          <w:lang w:val="en-GB"/>
        </w:rPr>
        <w:t xml:space="preserve">firm </w:t>
      </w:r>
      <w:r w:rsidRPr="008D59AC">
        <w:rPr>
          <w:i/>
          <w:lang w:val="en-GB"/>
        </w:rPr>
        <w:t xml:space="preserve">i </w:t>
      </w:r>
      <w:r w:rsidRPr="008D59AC">
        <w:rPr>
          <w:lang w:val="en-GB"/>
        </w:rPr>
        <w:t>four months</w:t>
      </w:r>
      <w:r w:rsidRPr="008D59AC">
        <w:rPr>
          <w:rStyle w:val="FootnoteReference"/>
          <w:lang w:val="en-GB"/>
        </w:rPr>
        <w:footnoteReference w:id="10"/>
      </w:r>
      <w:r w:rsidRPr="008D59AC">
        <w:rPr>
          <w:lang w:val="en-GB"/>
        </w:rPr>
        <w:t xml:space="preserve"> after the end of the </w:t>
      </w:r>
      <w:r w:rsidR="006B0489" w:rsidRPr="008D59AC">
        <w:rPr>
          <w:lang w:val="en-GB"/>
        </w:rPr>
        <w:t xml:space="preserve">fiscal year </w:t>
      </w:r>
      <w:r w:rsidR="006B0489" w:rsidRPr="008D59AC">
        <w:rPr>
          <w:i/>
          <w:lang w:val="en-GB"/>
        </w:rPr>
        <w:t>t</w:t>
      </w:r>
      <w:r w:rsidRPr="008D59AC">
        <w:rPr>
          <w:lang w:val="en-GB"/>
        </w:rPr>
        <w:t xml:space="preserve"> (i.e. 30 April</w:t>
      </w:r>
      <w:r w:rsidR="00F653F7" w:rsidRPr="008D59AC">
        <w:rPr>
          <w:lang w:val="en-GB"/>
        </w:rPr>
        <w:t xml:space="preserve">). </w:t>
      </w:r>
      <w:r w:rsidR="00F653F7" w:rsidRPr="008D59AC">
        <w:rPr>
          <w:i/>
          <w:lang w:val="en-GB"/>
        </w:rPr>
        <w:t>NFVA</w:t>
      </w:r>
      <w:r w:rsidR="00F653F7" w:rsidRPr="008D59AC">
        <w:rPr>
          <w:i/>
          <w:vertAlign w:val="subscript"/>
          <w:lang w:val="en-GB"/>
        </w:rPr>
        <w:t>i</w:t>
      </w:r>
      <w:r w:rsidR="00F653F7" w:rsidRPr="008D59AC">
        <w:rPr>
          <w:vertAlign w:val="subscript"/>
          <w:lang w:val="en-GB"/>
        </w:rPr>
        <w:t>t</w:t>
      </w:r>
      <w:r w:rsidR="00F653F7" w:rsidRPr="008D59AC">
        <w:rPr>
          <w:lang w:val="en-GB"/>
        </w:rPr>
        <w:t xml:space="preserve"> (</w:t>
      </w:r>
      <w:r w:rsidR="00F653F7" w:rsidRPr="008D59AC">
        <w:rPr>
          <w:i/>
          <w:lang w:val="en-GB"/>
        </w:rPr>
        <w:t>NFVL</w:t>
      </w:r>
      <w:r w:rsidR="00F653F7" w:rsidRPr="008D59AC">
        <w:rPr>
          <w:i/>
          <w:vertAlign w:val="subscript"/>
          <w:lang w:val="en-GB"/>
        </w:rPr>
        <w:t>i</w:t>
      </w:r>
      <w:r w:rsidR="00F653F7" w:rsidRPr="008D59AC">
        <w:rPr>
          <w:vertAlign w:val="subscript"/>
          <w:lang w:val="en-GB"/>
        </w:rPr>
        <w:t>t</w:t>
      </w:r>
      <w:r w:rsidR="00F653F7" w:rsidRPr="008D59AC">
        <w:rPr>
          <w:lang w:val="en-GB"/>
        </w:rPr>
        <w:t xml:space="preserve">) is the non-fair value of assets (liabilities) per share of firm </w:t>
      </w:r>
      <w:r w:rsidR="00F653F7" w:rsidRPr="008D59AC">
        <w:rPr>
          <w:i/>
          <w:lang w:val="en-GB"/>
        </w:rPr>
        <w:t>i</w:t>
      </w:r>
      <w:r w:rsidR="00F653F7" w:rsidRPr="008D59AC">
        <w:rPr>
          <w:lang w:val="en-GB"/>
        </w:rPr>
        <w:t xml:space="preserve"> at the end of the fiscal period</w:t>
      </w:r>
      <w:r w:rsidR="00F653F7" w:rsidRPr="008D59AC">
        <w:rPr>
          <w:i/>
          <w:lang w:val="en-GB"/>
        </w:rPr>
        <w:t xml:space="preserve"> t</w:t>
      </w:r>
      <w:r w:rsidR="00F653F7" w:rsidRPr="008D59AC">
        <w:rPr>
          <w:lang w:val="en-GB"/>
        </w:rPr>
        <w:t>.</w:t>
      </w:r>
      <w:r w:rsidR="00F653F7" w:rsidRPr="008D59AC">
        <w:rPr>
          <w:i/>
          <w:lang w:val="en-GB"/>
        </w:rPr>
        <w:t xml:space="preserve"> </w:t>
      </w:r>
      <w:r w:rsidR="006E1358" w:rsidRPr="008D59AC">
        <w:rPr>
          <w:i/>
          <w:lang w:val="en-GB"/>
        </w:rPr>
        <w:t>FVA</w:t>
      </w:r>
      <w:r w:rsidR="006E1358" w:rsidRPr="008D59AC">
        <w:rPr>
          <w:i/>
          <w:vertAlign w:val="subscript"/>
          <w:lang w:val="en-GB"/>
        </w:rPr>
        <w:t>it</w:t>
      </w:r>
      <w:r w:rsidR="006E1358" w:rsidRPr="008D59AC">
        <w:rPr>
          <w:lang w:val="en-GB"/>
        </w:rPr>
        <w:t xml:space="preserve"> (</w:t>
      </w:r>
      <w:r w:rsidR="006E1358" w:rsidRPr="008D59AC">
        <w:rPr>
          <w:i/>
          <w:lang w:val="en-GB"/>
        </w:rPr>
        <w:t>FVL</w:t>
      </w:r>
      <w:r w:rsidR="006E1358" w:rsidRPr="008D59AC">
        <w:rPr>
          <w:i/>
          <w:vertAlign w:val="subscript"/>
          <w:lang w:val="en-GB"/>
        </w:rPr>
        <w:t>it</w:t>
      </w:r>
      <w:r w:rsidR="006E1358" w:rsidRPr="008D59AC">
        <w:rPr>
          <w:lang w:val="en-GB"/>
        </w:rPr>
        <w:t xml:space="preserve">) is the fair value of assets (liabilities) per share of firm </w:t>
      </w:r>
      <w:r w:rsidR="006E1358" w:rsidRPr="008D59AC">
        <w:rPr>
          <w:i/>
          <w:lang w:val="en-GB"/>
        </w:rPr>
        <w:t>i</w:t>
      </w:r>
      <w:r w:rsidR="006E1358" w:rsidRPr="008D59AC">
        <w:rPr>
          <w:lang w:val="en-GB"/>
        </w:rPr>
        <w:t xml:space="preserve"> related to level 1, 2, or 3 of the fair value hierarchy at the end of the fiscal period </w:t>
      </w:r>
      <w:r w:rsidR="006E1358" w:rsidRPr="008D59AC">
        <w:rPr>
          <w:i/>
          <w:lang w:val="en-GB"/>
        </w:rPr>
        <w:t>t</w:t>
      </w:r>
      <w:r w:rsidR="006E1358" w:rsidRPr="008D59AC">
        <w:rPr>
          <w:lang w:val="en-GB"/>
        </w:rPr>
        <w:t>.</w:t>
      </w:r>
      <w:r w:rsidR="00B9644C" w:rsidRPr="008D59AC">
        <w:rPr>
          <w:lang w:val="en-GB"/>
        </w:rPr>
        <w:t xml:space="preserve"> </w:t>
      </w:r>
      <w:r w:rsidR="00745669" w:rsidRPr="008D59AC">
        <w:rPr>
          <w:lang w:val="en-GB"/>
        </w:rPr>
        <w:t>Following</w:t>
      </w:r>
      <w:r w:rsidR="00B9644C" w:rsidRPr="008D59AC">
        <w:rPr>
          <w:lang w:val="en-GB"/>
        </w:rPr>
        <w:t xml:space="preserve"> Song et</w:t>
      </w:r>
      <w:r w:rsidR="00765B24" w:rsidRPr="008D59AC">
        <w:rPr>
          <w:lang w:val="en-GB"/>
        </w:rPr>
        <w:t xml:space="preserve"> al. (2010) and Goh et al. (2015</w:t>
      </w:r>
      <w:r w:rsidR="00B9644C" w:rsidRPr="008D59AC">
        <w:rPr>
          <w:lang w:val="en-GB"/>
        </w:rPr>
        <w:t xml:space="preserve">) level 1 and 2 liabilities are </w:t>
      </w:r>
      <w:r w:rsidR="00745669" w:rsidRPr="008D59AC">
        <w:rPr>
          <w:lang w:val="en-GB"/>
        </w:rPr>
        <w:t>combined</w:t>
      </w:r>
      <w:r w:rsidR="00B9644C" w:rsidRPr="008D59AC">
        <w:rPr>
          <w:lang w:val="en-GB"/>
        </w:rPr>
        <w:t xml:space="preserve"> into one variable (</w:t>
      </w:r>
      <w:r w:rsidR="00B9644C" w:rsidRPr="008D59AC">
        <w:rPr>
          <w:i/>
          <w:lang w:val="en-GB"/>
        </w:rPr>
        <w:t>FVL12</w:t>
      </w:r>
      <w:r w:rsidR="00B9644C" w:rsidRPr="008D59AC">
        <w:rPr>
          <w:lang w:val="en-GB"/>
        </w:rPr>
        <w:t>).</w:t>
      </w:r>
      <w:r w:rsidR="006E1358" w:rsidRPr="008D59AC">
        <w:rPr>
          <w:i/>
          <w:lang w:val="en-GB"/>
        </w:rPr>
        <w:t xml:space="preserve"> EPS</w:t>
      </w:r>
      <w:r w:rsidR="006E1358" w:rsidRPr="008D59AC">
        <w:rPr>
          <w:vertAlign w:val="subscript"/>
          <w:lang w:val="en-GB"/>
        </w:rPr>
        <w:t>it</w:t>
      </w:r>
      <w:r w:rsidR="006E1358" w:rsidRPr="008D59AC">
        <w:rPr>
          <w:lang w:val="en-GB"/>
        </w:rPr>
        <w:t xml:space="preserve"> is the earnings per share</w:t>
      </w:r>
      <w:r w:rsidR="0014057F" w:rsidRPr="008D59AC">
        <w:rPr>
          <w:lang w:val="en-GB"/>
        </w:rPr>
        <w:t xml:space="preserve"> excluding extraordinary items</w:t>
      </w:r>
      <w:r w:rsidR="006E1358" w:rsidRPr="008D59AC">
        <w:rPr>
          <w:lang w:val="en-GB"/>
        </w:rPr>
        <w:t xml:space="preserve"> of firm </w:t>
      </w:r>
      <w:r w:rsidR="006E1358" w:rsidRPr="008D59AC">
        <w:rPr>
          <w:i/>
          <w:lang w:val="en-GB"/>
        </w:rPr>
        <w:t>i</w:t>
      </w:r>
      <w:r w:rsidR="006E1358" w:rsidRPr="008D59AC">
        <w:rPr>
          <w:lang w:val="en-GB"/>
        </w:rPr>
        <w:t xml:space="preserve"> at the end of the fiscal period </w:t>
      </w:r>
      <w:r w:rsidR="006E1358" w:rsidRPr="008D59AC">
        <w:rPr>
          <w:i/>
          <w:lang w:val="en-GB"/>
        </w:rPr>
        <w:t>t</w:t>
      </w:r>
      <w:r w:rsidR="006E1358" w:rsidRPr="008D59AC">
        <w:rPr>
          <w:lang w:val="en-GB"/>
        </w:rPr>
        <w:t>.</w:t>
      </w:r>
    </w:p>
    <w:p w:rsidR="0049795A" w:rsidRPr="008D59AC" w:rsidRDefault="0049795A" w:rsidP="0049795A">
      <w:pPr>
        <w:pStyle w:val="HBodyText"/>
        <w:rPr>
          <w:lang w:val="en-GB"/>
        </w:rPr>
      </w:pPr>
      <w:r w:rsidRPr="008D59AC">
        <w:rPr>
          <w:lang w:val="en-GB"/>
        </w:rPr>
        <w:t>When testing hypothesis 1, the observations from 2012</w:t>
      </w:r>
      <w:r w:rsidR="00C7389D" w:rsidRPr="008D59AC">
        <w:rPr>
          <w:lang w:val="en-GB"/>
        </w:rPr>
        <w:t>-2014</w:t>
      </w:r>
      <w:r w:rsidRPr="008D59AC">
        <w:rPr>
          <w:lang w:val="en-GB"/>
        </w:rPr>
        <w:t xml:space="preserve"> are pooled into a sample consisting of </w:t>
      </w:r>
      <w:r w:rsidR="00C7389D" w:rsidRPr="008D59AC">
        <w:rPr>
          <w:lang w:val="en-GB"/>
        </w:rPr>
        <w:t>985</w:t>
      </w:r>
      <w:r w:rsidRPr="008D59AC">
        <w:rPr>
          <w:lang w:val="en-GB"/>
        </w:rPr>
        <w:t xml:space="preserve"> firm-year observations. The levels of fair value assets are considered value relevant if their coefficients are positive and significantly different from the value of zero</w:t>
      </w:r>
      <w:r w:rsidR="002D7C2C" w:rsidRPr="008D59AC">
        <w:rPr>
          <w:lang w:val="en-GB"/>
        </w:rPr>
        <w:t xml:space="preserve"> (Song et al.</w:t>
      </w:r>
      <w:r w:rsidR="00892CAA" w:rsidRPr="008D59AC">
        <w:rPr>
          <w:lang w:val="en-GB"/>
        </w:rPr>
        <w:t>,</w:t>
      </w:r>
      <w:r w:rsidR="002D7C2C" w:rsidRPr="008D59AC">
        <w:rPr>
          <w:lang w:val="en-GB"/>
        </w:rPr>
        <w:t xml:space="preserve"> 2010; Goh et al.</w:t>
      </w:r>
      <w:r w:rsidR="00892CAA" w:rsidRPr="008D59AC">
        <w:rPr>
          <w:lang w:val="en-GB"/>
        </w:rPr>
        <w:t>,</w:t>
      </w:r>
      <w:r w:rsidR="002D7C2C" w:rsidRPr="008D59AC">
        <w:rPr>
          <w:lang w:val="en-GB"/>
        </w:rPr>
        <w:t xml:space="preserve"> 2015)</w:t>
      </w:r>
      <w:r w:rsidRPr="008D59AC">
        <w:rPr>
          <w:lang w:val="en-GB"/>
        </w:rPr>
        <w:t>.</w:t>
      </w:r>
      <w:r w:rsidR="002D2FB1" w:rsidRPr="008D59AC">
        <w:rPr>
          <w:rStyle w:val="FootnoteReference"/>
          <w:lang w:val="en-GB"/>
        </w:rPr>
        <w:footnoteReference w:id="11"/>
      </w:r>
      <w:r w:rsidRPr="008D59AC">
        <w:rPr>
          <w:lang w:val="en-GB"/>
        </w:rPr>
        <w:t xml:space="preserve"> Respectively, the levels of fair value liabilities are considered value relevant, if their coefficients are negative and significantly different from the value of zero. </w:t>
      </w:r>
    </w:p>
    <w:p w:rsidR="00B92E0E" w:rsidRPr="008D59AC" w:rsidRDefault="00B92E0E" w:rsidP="0049795A">
      <w:pPr>
        <w:pStyle w:val="HBodyText"/>
        <w:rPr>
          <w:lang w:val="en-GB"/>
        </w:rPr>
      </w:pPr>
      <w:r w:rsidRPr="008D59AC">
        <w:rPr>
          <w:lang w:val="en-GB"/>
        </w:rPr>
        <w:t>In order to test hypothesis</w:t>
      </w:r>
      <w:r w:rsidR="007A3E0C" w:rsidRPr="008D59AC">
        <w:rPr>
          <w:lang w:val="en-GB"/>
        </w:rPr>
        <w:t xml:space="preserve"> 2</w:t>
      </w:r>
      <w:r w:rsidRPr="008D59AC">
        <w:rPr>
          <w:lang w:val="en-GB"/>
        </w:rPr>
        <w:t>, the sample</w:t>
      </w:r>
      <w:r w:rsidR="003C71E4" w:rsidRPr="008D59AC">
        <w:rPr>
          <w:lang w:val="en-GB"/>
        </w:rPr>
        <w:t xml:space="preserve"> countries</w:t>
      </w:r>
      <w:r w:rsidRPr="008D59AC">
        <w:rPr>
          <w:lang w:val="en-GB"/>
        </w:rPr>
        <w:t xml:space="preserve"> </w:t>
      </w:r>
      <w:r w:rsidR="003C71E4" w:rsidRPr="008D59AC">
        <w:rPr>
          <w:lang w:val="en-GB"/>
        </w:rPr>
        <w:t>are</w:t>
      </w:r>
      <w:r w:rsidRPr="008D59AC">
        <w:rPr>
          <w:lang w:val="en-GB"/>
        </w:rPr>
        <w:t xml:space="preserve"> divided into </w:t>
      </w:r>
      <w:r w:rsidR="003C71E4" w:rsidRPr="008D59AC">
        <w:rPr>
          <w:lang w:val="en-GB"/>
        </w:rPr>
        <w:t xml:space="preserve">clusters </w:t>
      </w:r>
      <w:r w:rsidR="00142210" w:rsidRPr="008D59AC">
        <w:rPr>
          <w:lang w:val="en-GB"/>
        </w:rPr>
        <w:t>of</w:t>
      </w:r>
      <w:r w:rsidR="003C71E4" w:rsidRPr="008D59AC">
        <w:rPr>
          <w:lang w:val="en-GB"/>
        </w:rPr>
        <w:t xml:space="preserve"> similar</w:t>
      </w:r>
      <w:r w:rsidRPr="008D59AC">
        <w:rPr>
          <w:lang w:val="en-GB"/>
        </w:rPr>
        <w:t xml:space="preserve"> investor protection environment</w:t>
      </w:r>
      <w:r w:rsidR="003C71E4" w:rsidRPr="008D59AC">
        <w:rPr>
          <w:lang w:val="en-GB"/>
        </w:rPr>
        <w:t xml:space="preserve">. The aim of </w:t>
      </w:r>
      <w:r w:rsidR="00142210" w:rsidRPr="008D59AC">
        <w:rPr>
          <w:lang w:val="en-GB"/>
        </w:rPr>
        <w:t>the analysis</w:t>
      </w:r>
      <w:r w:rsidR="003C71E4" w:rsidRPr="008D59AC">
        <w:rPr>
          <w:lang w:val="en-GB"/>
        </w:rPr>
        <w:t xml:space="preserve"> is to first identify countries with similar investor protection envir</w:t>
      </w:r>
      <w:r w:rsidR="00142210" w:rsidRPr="008D59AC">
        <w:rPr>
          <w:lang w:val="en-GB"/>
        </w:rPr>
        <w:t>onments with a cluster analysis</w:t>
      </w:r>
      <w:r w:rsidR="007F3960" w:rsidRPr="008D59AC">
        <w:rPr>
          <w:lang w:val="en-GB"/>
        </w:rPr>
        <w:t>,</w:t>
      </w:r>
      <w:r w:rsidR="003C71E4" w:rsidRPr="008D59AC">
        <w:rPr>
          <w:lang w:val="en-GB"/>
        </w:rPr>
        <w:t xml:space="preserve"> and</w:t>
      </w:r>
      <w:r w:rsidR="00142210" w:rsidRPr="008D59AC">
        <w:rPr>
          <w:lang w:val="en-GB"/>
        </w:rPr>
        <w:t xml:space="preserve"> second</w:t>
      </w:r>
      <w:r w:rsidR="003C71E4" w:rsidRPr="008D59AC">
        <w:rPr>
          <w:lang w:val="en-GB"/>
        </w:rPr>
        <w:t xml:space="preserve"> to examine whether value relevance </w:t>
      </w:r>
      <w:r w:rsidR="00147E2F" w:rsidRPr="008D59AC">
        <w:rPr>
          <w:lang w:val="en-GB"/>
        </w:rPr>
        <w:t>of fair values varies across tho</w:t>
      </w:r>
      <w:r w:rsidR="003C71E4" w:rsidRPr="008D59AC">
        <w:rPr>
          <w:lang w:val="en-GB"/>
        </w:rPr>
        <w:t>se clusters.</w:t>
      </w:r>
      <w:r w:rsidR="00082ABF" w:rsidRPr="008D59AC">
        <w:rPr>
          <w:lang w:val="en-GB"/>
        </w:rPr>
        <w:t xml:space="preserve"> This approach captures interactions among the investor protection variables and </w:t>
      </w:r>
      <w:r w:rsidR="00B7149F" w:rsidRPr="008D59AC">
        <w:rPr>
          <w:lang w:val="en-GB"/>
        </w:rPr>
        <w:t>documents the differences across investor protection environments</w:t>
      </w:r>
      <w:r w:rsidR="00A07E5E" w:rsidRPr="008D59AC">
        <w:rPr>
          <w:lang w:val="en-GB"/>
        </w:rPr>
        <w:t xml:space="preserve"> (Leuz et al.</w:t>
      </w:r>
      <w:r w:rsidR="00892CAA" w:rsidRPr="008D59AC">
        <w:rPr>
          <w:lang w:val="en-GB"/>
        </w:rPr>
        <w:t>,</w:t>
      </w:r>
      <w:r w:rsidR="009A04D9" w:rsidRPr="008D59AC">
        <w:rPr>
          <w:lang w:val="en-GB"/>
        </w:rPr>
        <w:t xml:space="preserve"> 2003)</w:t>
      </w:r>
      <w:r w:rsidR="00B7149F" w:rsidRPr="008D59AC">
        <w:rPr>
          <w:lang w:val="en-GB"/>
        </w:rPr>
        <w:t>. The cluster analysis is based on the six investor protection variables discussed in the previous section. A k-means cluster analysis with three country clusters using standardized values of the investor protection variables is conducted.</w:t>
      </w:r>
      <w:r w:rsidR="00CD11A4" w:rsidRPr="008D59AC">
        <w:rPr>
          <w:lang w:val="en-GB"/>
        </w:rPr>
        <w:t xml:space="preserve"> T</w:t>
      </w:r>
      <w:r w:rsidR="00DF3F1D" w:rsidRPr="008D59AC">
        <w:rPr>
          <w:lang w:val="en-GB"/>
        </w:rPr>
        <w:t>he choice of cluster analysis</w:t>
      </w:r>
      <w:r w:rsidR="00CD11A4" w:rsidRPr="008D59AC">
        <w:rPr>
          <w:lang w:val="en-GB"/>
        </w:rPr>
        <w:t xml:space="preserve"> and</w:t>
      </w:r>
      <w:r w:rsidR="00DF3F1D" w:rsidRPr="008D59AC">
        <w:rPr>
          <w:lang w:val="en-GB"/>
        </w:rPr>
        <w:t xml:space="preserve"> the</w:t>
      </w:r>
      <w:r w:rsidR="000A43A4" w:rsidRPr="008D59AC">
        <w:rPr>
          <w:lang w:val="en-GB"/>
        </w:rPr>
        <w:t xml:space="preserve"> number of clusters are</w:t>
      </w:r>
      <w:r w:rsidR="00CD11A4" w:rsidRPr="008D59AC">
        <w:rPr>
          <w:lang w:val="en-GB"/>
        </w:rPr>
        <w:t xml:space="preserve"> </w:t>
      </w:r>
      <w:r w:rsidR="00147E2F" w:rsidRPr="008D59AC">
        <w:rPr>
          <w:lang w:val="en-GB"/>
        </w:rPr>
        <w:t>identical</w:t>
      </w:r>
      <w:r w:rsidR="00CD11A4" w:rsidRPr="008D59AC">
        <w:rPr>
          <w:lang w:val="en-GB"/>
        </w:rPr>
        <w:t xml:space="preserve"> </w:t>
      </w:r>
      <w:r w:rsidR="00EA6FED" w:rsidRPr="008D59AC">
        <w:rPr>
          <w:lang w:val="en-GB"/>
        </w:rPr>
        <w:t>to</w:t>
      </w:r>
      <w:r w:rsidR="00CD11A4" w:rsidRPr="008D59AC">
        <w:rPr>
          <w:lang w:val="en-GB"/>
        </w:rPr>
        <w:t xml:space="preserve"> Leuz et al. (2003).</w:t>
      </w:r>
      <w:r w:rsidR="00B7149F" w:rsidRPr="008D59AC">
        <w:rPr>
          <w:lang w:val="en-GB"/>
        </w:rPr>
        <w:t xml:space="preserve"> </w:t>
      </w:r>
      <w:r w:rsidR="00A17BB0" w:rsidRPr="008D59AC">
        <w:rPr>
          <w:lang w:val="en-GB"/>
        </w:rPr>
        <w:t xml:space="preserve">Panel A of Table </w:t>
      </w:r>
      <w:r w:rsidR="00C7389D" w:rsidRPr="008D59AC">
        <w:rPr>
          <w:lang w:val="en-GB"/>
        </w:rPr>
        <w:t>5</w:t>
      </w:r>
      <w:r w:rsidR="00A17BB0" w:rsidRPr="008D59AC">
        <w:rPr>
          <w:lang w:val="en-GB"/>
        </w:rPr>
        <w:t xml:space="preserve"> reports the means of each investor </w:t>
      </w:r>
      <w:r w:rsidR="00A17BB0" w:rsidRPr="008D59AC">
        <w:rPr>
          <w:lang w:val="en-GB"/>
        </w:rPr>
        <w:lastRenderedPageBreak/>
        <w:t>protection variable for each of the three clusters</w:t>
      </w:r>
      <w:r w:rsidR="00FE45D6" w:rsidRPr="008D59AC">
        <w:rPr>
          <w:lang w:val="en-GB"/>
        </w:rPr>
        <w:t>. For all except one variable (f</w:t>
      </w:r>
      <w:r w:rsidR="00A17BB0" w:rsidRPr="008D59AC">
        <w:rPr>
          <w:lang w:val="en-GB"/>
        </w:rPr>
        <w:t xml:space="preserve">reedom of press) the mean value decreases when going from the strong investor protection cluster towards the weak investor protection cluster. A comparison of the Euclidean distances between the cluster </w:t>
      </w:r>
      <w:r w:rsidR="008D59AC" w:rsidRPr="008D59AC">
        <w:rPr>
          <w:lang w:val="en-GB"/>
        </w:rPr>
        <w:t>centres</w:t>
      </w:r>
      <w:r w:rsidR="00A17BB0" w:rsidRPr="008D59AC">
        <w:rPr>
          <w:lang w:val="en-GB"/>
        </w:rPr>
        <w:t xml:space="preserve"> indicates that the medium investor protection cluster is equally close to the strong investor protection cluster </w:t>
      </w:r>
      <w:r w:rsidR="008D59AC" w:rsidRPr="008D59AC">
        <w:rPr>
          <w:lang w:val="en-GB"/>
        </w:rPr>
        <w:t>centre</w:t>
      </w:r>
      <w:r w:rsidR="00A17BB0" w:rsidRPr="008D59AC">
        <w:rPr>
          <w:lang w:val="en-GB"/>
        </w:rPr>
        <w:t xml:space="preserve"> as it is to the weak investor protection cluster </w:t>
      </w:r>
      <w:r w:rsidR="008D59AC" w:rsidRPr="008D59AC">
        <w:rPr>
          <w:lang w:val="en-GB"/>
        </w:rPr>
        <w:t>centre</w:t>
      </w:r>
      <w:r w:rsidR="00A17BB0" w:rsidRPr="008D59AC">
        <w:rPr>
          <w:lang w:val="en-GB"/>
        </w:rPr>
        <w:t xml:space="preserve">. Thus, the medium investor protection cluster can be regarded as an in-between cluster. The outcome of the cluster analysis is presented in Panel B of Table </w:t>
      </w:r>
      <w:r w:rsidR="00C7389D" w:rsidRPr="008D59AC">
        <w:rPr>
          <w:lang w:val="en-GB"/>
        </w:rPr>
        <w:t>5</w:t>
      </w:r>
      <w:r w:rsidR="00A17BB0" w:rsidRPr="008D59AC">
        <w:rPr>
          <w:lang w:val="en-GB"/>
        </w:rPr>
        <w:t>.</w:t>
      </w:r>
    </w:p>
    <w:p w:rsidR="004C0EFA" w:rsidRPr="008D59AC" w:rsidRDefault="004C0EFA" w:rsidP="004C0EFA">
      <w:pPr>
        <w:pStyle w:val="HBodyText"/>
        <w:rPr>
          <w:lang w:val="en-GB"/>
        </w:rPr>
      </w:pPr>
      <w:bookmarkStart w:id="2" w:name="_Toc341769833"/>
      <w:r w:rsidRPr="008D59AC">
        <w:rPr>
          <w:lang w:val="en-GB"/>
        </w:rPr>
        <w:t xml:space="preserve">(INSERT TABLE </w:t>
      </w:r>
      <w:r w:rsidR="00C7389D" w:rsidRPr="008D59AC">
        <w:rPr>
          <w:lang w:val="en-GB"/>
        </w:rPr>
        <w:t>5</w:t>
      </w:r>
      <w:r w:rsidRPr="008D59AC">
        <w:rPr>
          <w:lang w:val="en-GB"/>
        </w:rPr>
        <w:t xml:space="preserve"> ABOUT HERE)</w:t>
      </w:r>
    </w:p>
    <w:p w:rsidR="00687E4C" w:rsidRPr="008D59AC" w:rsidRDefault="00C7389D" w:rsidP="004C0EFA">
      <w:pPr>
        <w:pStyle w:val="HBodyText"/>
        <w:rPr>
          <w:lang w:val="en-GB"/>
        </w:rPr>
      </w:pPr>
      <w:r w:rsidRPr="008D59AC">
        <w:rPr>
          <w:lang w:val="en-GB"/>
        </w:rPr>
        <w:t>In Panel C of Table 5</w:t>
      </w:r>
      <w:r w:rsidR="00687E4C" w:rsidRPr="008D59AC">
        <w:rPr>
          <w:lang w:val="en-GB"/>
        </w:rPr>
        <w:t xml:space="preserve"> are descriptive statistics for the three separate investor protection clusters presented. Firms in the strong investor protection cluster seem to disclose more fair values than firms </w:t>
      </w:r>
      <w:r w:rsidRPr="008D59AC">
        <w:rPr>
          <w:lang w:val="en-GB"/>
        </w:rPr>
        <w:t>in the two other clusters. 49.28</w:t>
      </w:r>
      <w:r w:rsidR="00687E4C" w:rsidRPr="008D59AC">
        <w:rPr>
          <w:lang w:val="en-GB"/>
        </w:rPr>
        <w:t>% of total assets are disclosed at fair value by firms in the strong investor protection cluster. The comparable numbers for the</w:t>
      </w:r>
      <w:r w:rsidRPr="008D59AC">
        <w:rPr>
          <w:lang w:val="en-GB"/>
        </w:rPr>
        <w:t xml:space="preserve"> medium and weak clusters are 31.57% and 28.24</w:t>
      </w:r>
      <w:r w:rsidR="00687E4C" w:rsidRPr="008D59AC">
        <w:rPr>
          <w:lang w:val="en-GB"/>
        </w:rPr>
        <w:t xml:space="preserve">%, respectively. In addition, the amount of fair </w:t>
      </w:r>
      <w:r w:rsidR="0067058F" w:rsidRPr="008D59AC">
        <w:rPr>
          <w:lang w:val="en-GB"/>
        </w:rPr>
        <w:t>value assets</w:t>
      </w:r>
      <w:r w:rsidR="00687E4C" w:rsidRPr="008D59AC">
        <w:rPr>
          <w:lang w:val="en-GB"/>
        </w:rPr>
        <w:t xml:space="preserve"> to total assets tends to </w:t>
      </w:r>
      <w:r w:rsidR="00EC6346" w:rsidRPr="008D59AC">
        <w:rPr>
          <w:lang w:val="en-GB"/>
        </w:rPr>
        <w:t>increase</w:t>
      </w:r>
      <w:r w:rsidR="00687E4C" w:rsidRPr="008D59AC">
        <w:rPr>
          <w:lang w:val="en-GB"/>
        </w:rPr>
        <w:t xml:space="preserve"> with the quality of investor protection. However, firms in the weak investor protection environment</w:t>
      </w:r>
      <w:r w:rsidRPr="008D59AC">
        <w:rPr>
          <w:lang w:val="en-GB"/>
        </w:rPr>
        <w:t xml:space="preserve"> (5.48</w:t>
      </w:r>
      <w:r w:rsidR="0067058F" w:rsidRPr="008D59AC">
        <w:rPr>
          <w:lang w:val="en-GB"/>
        </w:rPr>
        <w:t>%)</w:t>
      </w:r>
      <w:r w:rsidR="00687E4C" w:rsidRPr="008D59AC">
        <w:rPr>
          <w:lang w:val="en-GB"/>
        </w:rPr>
        <w:t xml:space="preserve"> seem to disclose more level 3 fair value assets</w:t>
      </w:r>
      <w:r w:rsidR="0067058F" w:rsidRPr="008D59AC">
        <w:rPr>
          <w:lang w:val="en-GB"/>
        </w:rPr>
        <w:t xml:space="preserve"> than firms in the </w:t>
      </w:r>
      <w:r w:rsidRPr="008D59AC">
        <w:rPr>
          <w:lang w:val="en-GB"/>
        </w:rPr>
        <w:t>medium cluster (2.26</w:t>
      </w:r>
      <w:r w:rsidR="0067058F" w:rsidRPr="008D59AC">
        <w:rPr>
          <w:lang w:val="en-GB"/>
        </w:rPr>
        <w:t>%).</w:t>
      </w:r>
    </w:p>
    <w:p w:rsidR="0095760B" w:rsidRPr="008D59AC" w:rsidRDefault="00281E1B" w:rsidP="0095760B">
      <w:pPr>
        <w:pStyle w:val="HHead1"/>
        <w:rPr>
          <w:lang w:val="en-GB"/>
        </w:rPr>
      </w:pPr>
      <w:r w:rsidRPr="008D59AC">
        <w:rPr>
          <w:lang w:val="en-GB"/>
        </w:rPr>
        <w:t>Results</w:t>
      </w:r>
      <w:bookmarkEnd w:id="2"/>
    </w:p>
    <w:p w:rsidR="0095760B" w:rsidRPr="008D59AC" w:rsidRDefault="00827A18" w:rsidP="0095760B">
      <w:pPr>
        <w:pStyle w:val="HHead2"/>
        <w:rPr>
          <w:lang w:val="en-GB"/>
        </w:rPr>
      </w:pPr>
      <w:r w:rsidRPr="008D59AC">
        <w:rPr>
          <w:lang w:val="en-GB"/>
        </w:rPr>
        <w:t xml:space="preserve">Value relevance of </w:t>
      </w:r>
      <w:r w:rsidR="0037215D" w:rsidRPr="008D59AC">
        <w:rPr>
          <w:lang w:val="en-GB"/>
        </w:rPr>
        <w:t>fair values</w:t>
      </w:r>
    </w:p>
    <w:p w:rsidR="00CA113F" w:rsidRPr="008D59AC" w:rsidRDefault="00F96778" w:rsidP="00CA113F">
      <w:pPr>
        <w:pStyle w:val="HBodyText"/>
        <w:rPr>
          <w:lang w:val="en-GB"/>
        </w:rPr>
      </w:pPr>
      <w:r w:rsidRPr="008D59AC">
        <w:rPr>
          <w:lang w:val="en-GB"/>
        </w:rPr>
        <w:t xml:space="preserve">Before studying the value relevance of fair values in different investor protection environments, the </w:t>
      </w:r>
      <w:r w:rsidR="00F57D09" w:rsidRPr="008D59AC">
        <w:rPr>
          <w:lang w:val="en-GB"/>
        </w:rPr>
        <w:t xml:space="preserve">results using the pooled sample (34 countries) is </w:t>
      </w:r>
      <w:r w:rsidR="002B02D9" w:rsidRPr="008D59AC">
        <w:rPr>
          <w:lang w:val="en-GB"/>
        </w:rPr>
        <w:t>examined</w:t>
      </w:r>
      <w:r w:rsidRPr="008D59AC">
        <w:rPr>
          <w:lang w:val="en-GB"/>
        </w:rPr>
        <w:t xml:space="preserve">. </w:t>
      </w:r>
      <w:r w:rsidR="009963AC" w:rsidRPr="008D59AC">
        <w:rPr>
          <w:lang w:val="en-GB"/>
        </w:rPr>
        <w:t xml:space="preserve">The value relevance of </w:t>
      </w:r>
      <w:r w:rsidRPr="008D59AC">
        <w:rPr>
          <w:lang w:val="en-GB"/>
        </w:rPr>
        <w:t>fair values in the fair value hierarchy</w:t>
      </w:r>
      <w:r w:rsidR="009963AC" w:rsidRPr="008D59AC">
        <w:rPr>
          <w:lang w:val="en-GB"/>
        </w:rPr>
        <w:t xml:space="preserve"> is tested with the modified Ohlson (1995) model as suggested by Song et al. (2010)</w:t>
      </w:r>
      <w:r w:rsidR="006849ED" w:rsidRPr="008D59AC">
        <w:rPr>
          <w:lang w:val="en-GB"/>
        </w:rPr>
        <w:t xml:space="preserve"> and Goh et al. (2015)</w:t>
      </w:r>
      <w:r w:rsidR="009963AC" w:rsidRPr="008D59AC">
        <w:rPr>
          <w:lang w:val="en-GB"/>
        </w:rPr>
        <w:t xml:space="preserve">. </w:t>
      </w:r>
      <w:r w:rsidR="001E52A4" w:rsidRPr="008D59AC">
        <w:rPr>
          <w:lang w:val="en-GB"/>
        </w:rPr>
        <w:t>T</w:t>
      </w:r>
      <w:r w:rsidR="009963AC" w:rsidRPr="008D59AC">
        <w:rPr>
          <w:lang w:val="en-GB"/>
        </w:rPr>
        <w:t xml:space="preserve">he regression is </w:t>
      </w:r>
      <w:r w:rsidR="00FD73A5" w:rsidRPr="008D59AC">
        <w:rPr>
          <w:lang w:val="en-GB"/>
        </w:rPr>
        <w:t>estimated</w:t>
      </w:r>
      <w:r w:rsidR="009963AC" w:rsidRPr="008D59AC">
        <w:rPr>
          <w:lang w:val="en-GB"/>
        </w:rPr>
        <w:t xml:space="preserve"> with the whole sample in order to get an overall view of the v</w:t>
      </w:r>
      <w:r w:rsidR="001E52A4" w:rsidRPr="008D59AC">
        <w:rPr>
          <w:lang w:val="en-GB"/>
        </w:rPr>
        <w:t>alue relevance of fair values.</w:t>
      </w:r>
    </w:p>
    <w:p w:rsidR="00F45401" w:rsidRPr="008D59AC" w:rsidRDefault="00D91338" w:rsidP="003D3CAB">
      <w:pPr>
        <w:pStyle w:val="HBodyText"/>
        <w:rPr>
          <w:lang w:val="en-GB"/>
        </w:rPr>
      </w:pPr>
      <w:r w:rsidRPr="008D59AC">
        <w:rPr>
          <w:lang w:val="en-GB"/>
        </w:rPr>
        <w:t>The regressi</w:t>
      </w:r>
      <w:r w:rsidR="00C62980" w:rsidRPr="008D59AC">
        <w:rPr>
          <w:lang w:val="en-GB"/>
        </w:rPr>
        <w:t xml:space="preserve">on analysis presented in </w:t>
      </w:r>
      <w:r w:rsidR="00161680" w:rsidRPr="008D59AC">
        <w:rPr>
          <w:lang w:val="en-GB"/>
        </w:rPr>
        <w:t>T</w:t>
      </w:r>
      <w:r w:rsidR="00495973" w:rsidRPr="008D59AC">
        <w:rPr>
          <w:lang w:val="en-GB"/>
        </w:rPr>
        <w:t>able 6</w:t>
      </w:r>
      <w:r w:rsidR="005D6C64" w:rsidRPr="008D59AC">
        <w:rPr>
          <w:lang w:val="en-GB"/>
        </w:rPr>
        <w:t xml:space="preserve"> indicates that</w:t>
      </w:r>
      <w:r w:rsidR="009C19A7" w:rsidRPr="008D59AC">
        <w:rPr>
          <w:lang w:val="en-GB"/>
        </w:rPr>
        <w:t>, when all of the observations are pooled into one sample,</w:t>
      </w:r>
      <w:r w:rsidR="005D6C64" w:rsidRPr="008D59AC">
        <w:rPr>
          <w:lang w:val="en-GB"/>
        </w:rPr>
        <w:t xml:space="preserve"> all of the fair values</w:t>
      </w:r>
      <w:r w:rsidRPr="008D59AC">
        <w:rPr>
          <w:lang w:val="en-GB"/>
        </w:rPr>
        <w:t xml:space="preserve"> in the fair value hierarchy under IFRS 13 are value relevant</w:t>
      </w:r>
      <w:r w:rsidR="00FD73A5" w:rsidRPr="008D59AC">
        <w:rPr>
          <w:lang w:val="en-GB"/>
        </w:rPr>
        <w:t>.</w:t>
      </w:r>
      <w:r w:rsidR="00431E01" w:rsidRPr="008D59AC">
        <w:rPr>
          <w:lang w:val="en-GB"/>
        </w:rPr>
        <w:t xml:space="preserve"> The </w:t>
      </w:r>
      <w:r w:rsidR="00495973" w:rsidRPr="008D59AC">
        <w:rPr>
          <w:lang w:val="en-GB"/>
        </w:rPr>
        <w:t>adjusted R-squared is high (0.84</w:t>
      </w:r>
      <w:r w:rsidR="00431E01" w:rsidRPr="008D59AC">
        <w:rPr>
          <w:lang w:val="en-GB"/>
        </w:rPr>
        <w:t>)</w:t>
      </w:r>
      <w:r w:rsidR="002B02D9" w:rsidRPr="008D59AC">
        <w:rPr>
          <w:lang w:val="en-GB"/>
        </w:rPr>
        <w:t>,</w:t>
      </w:r>
      <w:r w:rsidR="00431E01" w:rsidRPr="008D59AC">
        <w:rPr>
          <w:lang w:val="en-GB"/>
        </w:rPr>
        <w:t xml:space="preserve"> but not substantially higher than 0.74 as reported by Goh et al. (201</w:t>
      </w:r>
      <w:r w:rsidR="00285006" w:rsidRPr="008D59AC">
        <w:rPr>
          <w:lang w:val="en-GB"/>
        </w:rPr>
        <w:t>5</w:t>
      </w:r>
      <w:r w:rsidR="00431E01" w:rsidRPr="008D59AC">
        <w:rPr>
          <w:lang w:val="en-GB"/>
        </w:rPr>
        <w:t>).</w:t>
      </w:r>
      <w:r w:rsidR="003F3A2D" w:rsidRPr="008D59AC">
        <w:rPr>
          <w:lang w:val="en-GB"/>
        </w:rPr>
        <w:t xml:space="preserve"> </w:t>
      </w:r>
      <w:r w:rsidR="00161680" w:rsidRPr="008D59AC">
        <w:rPr>
          <w:lang w:val="en-GB"/>
        </w:rPr>
        <w:t>T</w:t>
      </w:r>
      <w:r w:rsidR="00A71545" w:rsidRPr="008D59AC">
        <w:rPr>
          <w:lang w:val="en-GB"/>
        </w:rPr>
        <w:t xml:space="preserve">able </w:t>
      </w:r>
      <w:r w:rsidR="00495973" w:rsidRPr="008D59AC">
        <w:rPr>
          <w:lang w:val="en-GB"/>
        </w:rPr>
        <w:t>6</w:t>
      </w:r>
      <w:r w:rsidR="00591EE5" w:rsidRPr="008D59AC">
        <w:rPr>
          <w:lang w:val="en-GB"/>
        </w:rPr>
        <w:t xml:space="preserve"> </w:t>
      </w:r>
      <w:r w:rsidR="003F3A2D" w:rsidRPr="008D59AC">
        <w:rPr>
          <w:lang w:val="en-GB"/>
        </w:rPr>
        <w:t>reports</w:t>
      </w:r>
      <w:r w:rsidR="00591EE5" w:rsidRPr="008D59AC">
        <w:rPr>
          <w:lang w:val="en-GB"/>
        </w:rPr>
        <w:t xml:space="preserve"> that </w:t>
      </w:r>
      <w:r w:rsidR="00087A57" w:rsidRPr="008D59AC">
        <w:rPr>
          <w:lang w:val="en-GB"/>
        </w:rPr>
        <w:t>the coefficient</w:t>
      </w:r>
      <w:r w:rsidR="00495973" w:rsidRPr="008D59AC">
        <w:rPr>
          <w:lang w:val="en-GB"/>
        </w:rPr>
        <w:t>s</w:t>
      </w:r>
      <w:r w:rsidR="00087A57" w:rsidRPr="008D59AC">
        <w:rPr>
          <w:lang w:val="en-GB"/>
        </w:rPr>
        <w:t xml:space="preserve"> for </w:t>
      </w:r>
      <w:r w:rsidR="005D6C64" w:rsidRPr="008D59AC">
        <w:rPr>
          <w:lang w:val="en-GB"/>
        </w:rPr>
        <w:t>fair value assets in level 2</w:t>
      </w:r>
      <w:r w:rsidR="00495973" w:rsidRPr="008D59AC">
        <w:rPr>
          <w:lang w:val="en-GB"/>
        </w:rPr>
        <w:t xml:space="preserve"> (0.216</w:t>
      </w:r>
      <w:r w:rsidR="004B1DF4" w:rsidRPr="008D59AC">
        <w:rPr>
          <w:lang w:val="en-GB"/>
        </w:rPr>
        <w:t>)</w:t>
      </w:r>
      <w:r w:rsidR="00747825" w:rsidRPr="008D59AC">
        <w:rPr>
          <w:lang w:val="en-GB"/>
        </w:rPr>
        <w:t xml:space="preserve"> and level 3 (0.208)</w:t>
      </w:r>
      <w:r w:rsidR="00591EE5" w:rsidRPr="008D59AC">
        <w:rPr>
          <w:lang w:val="en-GB"/>
        </w:rPr>
        <w:t xml:space="preserve"> </w:t>
      </w:r>
      <w:r w:rsidR="00747825" w:rsidRPr="008D59AC">
        <w:rPr>
          <w:lang w:val="en-GB"/>
        </w:rPr>
        <w:t>are</w:t>
      </w:r>
      <w:r w:rsidR="00E774EA" w:rsidRPr="008D59AC">
        <w:rPr>
          <w:lang w:val="en-GB"/>
        </w:rPr>
        <w:t xml:space="preserve"> significantly</w:t>
      </w:r>
      <w:r w:rsidR="00087A57" w:rsidRPr="008D59AC">
        <w:rPr>
          <w:lang w:val="en-GB"/>
        </w:rPr>
        <w:t xml:space="preserve"> higher </w:t>
      </w:r>
      <w:r w:rsidR="005D6C64" w:rsidRPr="008D59AC">
        <w:rPr>
          <w:lang w:val="en-GB"/>
        </w:rPr>
        <w:t>than the coefficient for level 1</w:t>
      </w:r>
      <w:r w:rsidR="00495973" w:rsidRPr="008D59AC">
        <w:rPr>
          <w:lang w:val="en-GB"/>
        </w:rPr>
        <w:t xml:space="preserve"> (0.162</w:t>
      </w:r>
      <w:r w:rsidR="004B1DF4" w:rsidRPr="008D59AC">
        <w:rPr>
          <w:lang w:val="en-GB"/>
        </w:rPr>
        <w:t>)</w:t>
      </w:r>
      <w:r w:rsidR="00087A57" w:rsidRPr="008D59AC">
        <w:rPr>
          <w:lang w:val="en-GB"/>
        </w:rPr>
        <w:t xml:space="preserve"> </w:t>
      </w:r>
      <w:r w:rsidR="00495973" w:rsidRPr="008D59AC">
        <w:rPr>
          <w:lang w:val="en-GB"/>
        </w:rPr>
        <w:t>assets</w:t>
      </w:r>
      <w:r w:rsidR="00087A57" w:rsidRPr="008D59AC">
        <w:rPr>
          <w:lang w:val="en-GB"/>
        </w:rPr>
        <w:t>.</w:t>
      </w:r>
      <w:r w:rsidR="009963AC" w:rsidRPr="008D59AC">
        <w:rPr>
          <w:lang w:val="en-GB"/>
        </w:rPr>
        <w:t xml:space="preserve"> That is, investors seem to be willing to pay a higher price </w:t>
      </w:r>
      <w:r w:rsidR="005D6C64" w:rsidRPr="008D59AC">
        <w:rPr>
          <w:lang w:val="en-GB"/>
        </w:rPr>
        <w:t>for leve</w:t>
      </w:r>
      <w:r w:rsidR="003E74FD" w:rsidRPr="008D59AC">
        <w:rPr>
          <w:lang w:val="en-GB"/>
        </w:rPr>
        <w:t>l 2</w:t>
      </w:r>
      <w:r w:rsidR="00747825" w:rsidRPr="008D59AC">
        <w:rPr>
          <w:lang w:val="en-GB"/>
        </w:rPr>
        <w:t xml:space="preserve"> and 3</w:t>
      </w:r>
      <w:r w:rsidR="003E74FD" w:rsidRPr="008D59AC">
        <w:rPr>
          <w:lang w:val="en-GB"/>
        </w:rPr>
        <w:t xml:space="preserve"> assets than for </w:t>
      </w:r>
      <w:r w:rsidR="00E774EA" w:rsidRPr="008D59AC">
        <w:rPr>
          <w:lang w:val="en-GB"/>
        </w:rPr>
        <w:t xml:space="preserve">level 1 </w:t>
      </w:r>
      <w:r w:rsidR="00747825" w:rsidRPr="008D59AC">
        <w:rPr>
          <w:lang w:val="en-GB"/>
        </w:rPr>
        <w:t>assets</w:t>
      </w:r>
      <w:r w:rsidR="00F45401" w:rsidRPr="008D59AC">
        <w:rPr>
          <w:lang w:val="en-GB"/>
        </w:rPr>
        <w:t>.</w:t>
      </w:r>
      <w:r w:rsidR="007D3CCC" w:rsidRPr="008D59AC">
        <w:rPr>
          <w:lang w:val="en-GB"/>
        </w:rPr>
        <w:t xml:space="preserve"> </w:t>
      </w:r>
      <w:r w:rsidR="00F45401" w:rsidRPr="008D59AC">
        <w:rPr>
          <w:lang w:val="en-GB"/>
        </w:rPr>
        <w:t>All three levels of fair value liabilities are value relevant. The coefficient for</w:t>
      </w:r>
      <w:r w:rsidR="004B1DF4" w:rsidRPr="008D59AC">
        <w:rPr>
          <w:lang w:val="en-GB"/>
        </w:rPr>
        <w:t xml:space="preserve"> </w:t>
      </w:r>
      <w:r w:rsidR="004B1DF4" w:rsidRPr="008D59AC">
        <w:rPr>
          <w:i/>
          <w:lang w:val="en-GB"/>
        </w:rPr>
        <w:t>FVL1</w:t>
      </w:r>
      <w:r w:rsidR="00E774EA" w:rsidRPr="008D59AC">
        <w:rPr>
          <w:i/>
          <w:lang w:val="en-GB"/>
        </w:rPr>
        <w:t>2</w:t>
      </w:r>
      <w:r w:rsidR="004B1DF4" w:rsidRPr="008D59AC">
        <w:rPr>
          <w:lang w:val="en-GB"/>
        </w:rPr>
        <w:t xml:space="preserve">, </w:t>
      </w:r>
      <w:r w:rsidR="00020E68" w:rsidRPr="008D59AC">
        <w:rPr>
          <w:lang w:val="en-GB"/>
        </w:rPr>
        <w:t xml:space="preserve">and </w:t>
      </w:r>
      <w:r w:rsidR="00020E68" w:rsidRPr="008D59AC">
        <w:rPr>
          <w:i/>
          <w:lang w:val="en-GB"/>
        </w:rPr>
        <w:t>FVL3</w:t>
      </w:r>
      <w:r w:rsidR="00020E68" w:rsidRPr="008D59AC">
        <w:rPr>
          <w:lang w:val="en-GB"/>
        </w:rPr>
        <w:t xml:space="preserve"> are -0.183</w:t>
      </w:r>
      <w:r w:rsidR="00E774EA" w:rsidRPr="008D59AC">
        <w:rPr>
          <w:lang w:val="en-GB"/>
        </w:rPr>
        <w:t>,</w:t>
      </w:r>
      <w:r w:rsidR="00F45401" w:rsidRPr="008D59AC">
        <w:rPr>
          <w:lang w:val="en-GB"/>
        </w:rPr>
        <w:t xml:space="preserve"> a</w:t>
      </w:r>
      <w:r w:rsidR="00020E68" w:rsidRPr="008D59AC">
        <w:rPr>
          <w:lang w:val="en-GB"/>
        </w:rPr>
        <w:t>nd -0.175</w:t>
      </w:r>
      <w:r w:rsidR="00F45401" w:rsidRPr="008D59AC">
        <w:rPr>
          <w:lang w:val="en-GB"/>
        </w:rPr>
        <w:t xml:space="preserve">, respectively. The </w:t>
      </w:r>
      <w:r w:rsidR="00E774EA" w:rsidRPr="008D59AC">
        <w:rPr>
          <w:lang w:val="en-GB"/>
        </w:rPr>
        <w:t xml:space="preserve">difference </w:t>
      </w:r>
      <w:r w:rsidR="00F61A51" w:rsidRPr="008D59AC">
        <w:rPr>
          <w:lang w:val="en-GB"/>
        </w:rPr>
        <w:t>between</w:t>
      </w:r>
      <w:r w:rsidR="00E774EA" w:rsidRPr="008D59AC">
        <w:rPr>
          <w:lang w:val="en-GB"/>
        </w:rPr>
        <w:t xml:space="preserve"> the two coefficients is signific</w:t>
      </w:r>
      <w:r w:rsidR="00020E68" w:rsidRPr="008D59AC">
        <w:rPr>
          <w:lang w:val="en-GB"/>
        </w:rPr>
        <w:t xml:space="preserve">ant. The </w:t>
      </w:r>
      <w:r w:rsidR="00020E68" w:rsidRPr="008D59AC">
        <w:rPr>
          <w:i/>
          <w:lang w:val="en-GB"/>
        </w:rPr>
        <w:t>EPS</w:t>
      </w:r>
      <w:r w:rsidR="00020E68" w:rsidRPr="008D59AC">
        <w:rPr>
          <w:lang w:val="en-GB"/>
        </w:rPr>
        <w:t xml:space="preserve"> coefficient of 3.989</w:t>
      </w:r>
      <w:r w:rsidR="00F45401" w:rsidRPr="008D59AC">
        <w:rPr>
          <w:lang w:val="en-GB"/>
        </w:rPr>
        <w:t xml:space="preserve"> is higher than </w:t>
      </w:r>
      <w:r w:rsidR="00F45401" w:rsidRPr="008D59AC">
        <w:rPr>
          <w:lang w:val="en-GB"/>
        </w:rPr>
        <w:lastRenderedPageBreak/>
        <w:t>the book value coefficients, indicating that the market value of equity is more extensively driven by earnings than by book value of equity.</w:t>
      </w:r>
      <w:r w:rsidR="002E22AE" w:rsidRPr="008D59AC">
        <w:rPr>
          <w:lang w:val="en-GB"/>
        </w:rPr>
        <w:t xml:space="preserve"> Additionally, the second part of Table </w:t>
      </w:r>
      <w:r w:rsidR="00020E68" w:rsidRPr="008D59AC">
        <w:rPr>
          <w:lang w:val="en-GB"/>
        </w:rPr>
        <w:t>6</w:t>
      </w:r>
      <w:r w:rsidR="002E22AE" w:rsidRPr="008D59AC">
        <w:rPr>
          <w:lang w:val="en-GB"/>
        </w:rPr>
        <w:t xml:space="preserve"> indicates that the value relevance of level 1, level</w:t>
      </w:r>
      <w:r w:rsidR="00F66E5A" w:rsidRPr="008D59AC">
        <w:rPr>
          <w:lang w:val="en-GB"/>
        </w:rPr>
        <w:t xml:space="preserve"> </w:t>
      </w:r>
      <w:r w:rsidR="002E22AE" w:rsidRPr="008D59AC">
        <w:rPr>
          <w:lang w:val="en-GB"/>
        </w:rPr>
        <w:t>2, and level 3 fair value assets are significantly higher than the value relevance of non-fair value assets</w:t>
      </w:r>
      <w:r w:rsidR="00020E68" w:rsidRPr="008D59AC">
        <w:rPr>
          <w:lang w:val="en-GB"/>
        </w:rPr>
        <w:t xml:space="preserve"> (0.136</w:t>
      </w:r>
      <w:r w:rsidR="00184D31" w:rsidRPr="008D59AC">
        <w:rPr>
          <w:lang w:val="en-GB"/>
        </w:rPr>
        <w:t>)</w:t>
      </w:r>
      <w:r w:rsidR="00E774EA" w:rsidRPr="008D59AC">
        <w:rPr>
          <w:lang w:val="en-GB"/>
        </w:rPr>
        <w:t>.</w:t>
      </w:r>
    </w:p>
    <w:p w:rsidR="00431E01" w:rsidRPr="008D59AC" w:rsidRDefault="00495973" w:rsidP="00431E01">
      <w:pPr>
        <w:pStyle w:val="HBodyText"/>
        <w:rPr>
          <w:lang w:val="en-GB"/>
        </w:rPr>
      </w:pPr>
      <w:r w:rsidRPr="008D59AC">
        <w:rPr>
          <w:lang w:val="en-GB"/>
        </w:rPr>
        <w:t>(INSERT TABLE 6</w:t>
      </w:r>
      <w:r w:rsidR="00431E01" w:rsidRPr="008D59AC">
        <w:rPr>
          <w:lang w:val="en-GB"/>
        </w:rPr>
        <w:t xml:space="preserve"> ABOUT HERE)</w:t>
      </w:r>
    </w:p>
    <w:p w:rsidR="00D91338" w:rsidRPr="008D59AC" w:rsidRDefault="007D3CCC" w:rsidP="003D3CAB">
      <w:pPr>
        <w:pStyle w:val="HBodyText"/>
        <w:rPr>
          <w:lang w:val="en-GB"/>
        </w:rPr>
      </w:pPr>
      <w:r w:rsidRPr="008D59AC">
        <w:rPr>
          <w:lang w:val="en-GB"/>
        </w:rPr>
        <w:t>The coefficients</w:t>
      </w:r>
      <w:r w:rsidR="00D05737" w:rsidRPr="008D59AC">
        <w:rPr>
          <w:lang w:val="en-GB"/>
        </w:rPr>
        <w:t xml:space="preserve"> in the regression results</w:t>
      </w:r>
      <w:r w:rsidRPr="008D59AC">
        <w:rPr>
          <w:lang w:val="en-GB"/>
        </w:rPr>
        <w:t xml:space="preserve"> are fairly low compared to the coefficient</w:t>
      </w:r>
      <w:r w:rsidR="00D05737" w:rsidRPr="008D59AC">
        <w:rPr>
          <w:lang w:val="en-GB"/>
        </w:rPr>
        <w:t>s</w:t>
      </w:r>
      <w:r w:rsidR="0081499F" w:rsidRPr="008D59AC">
        <w:rPr>
          <w:lang w:val="en-GB"/>
        </w:rPr>
        <w:t xml:space="preserve"> reported by Song et al. (2010</w:t>
      </w:r>
      <w:r w:rsidRPr="008D59AC">
        <w:rPr>
          <w:lang w:val="en-GB"/>
        </w:rPr>
        <w:t>)</w:t>
      </w:r>
      <w:r w:rsidR="005443AD" w:rsidRPr="008D59AC">
        <w:rPr>
          <w:lang w:val="en-GB"/>
        </w:rPr>
        <w:t xml:space="preserve"> and Goh et al. (2015)</w:t>
      </w:r>
      <w:r w:rsidRPr="008D59AC">
        <w:rPr>
          <w:lang w:val="en-GB"/>
        </w:rPr>
        <w:t>.</w:t>
      </w:r>
      <w:r w:rsidR="00D05737" w:rsidRPr="008D59AC">
        <w:rPr>
          <w:lang w:val="en-GB"/>
        </w:rPr>
        <w:t xml:space="preserve"> The l</w:t>
      </w:r>
      <w:r w:rsidR="005D6C64" w:rsidRPr="008D59AC">
        <w:rPr>
          <w:lang w:val="en-GB"/>
        </w:rPr>
        <w:t>ev</w:t>
      </w:r>
      <w:r w:rsidR="00D0708F" w:rsidRPr="008D59AC">
        <w:rPr>
          <w:lang w:val="en-GB"/>
        </w:rPr>
        <w:t>e</w:t>
      </w:r>
      <w:r w:rsidR="00490388" w:rsidRPr="008D59AC">
        <w:rPr>
          <w:lang w:val="en-GB"/>
        </w:rPr>
        <w:t>l 1 assets coefficient is 0.162</w:t>
      </w:r>
      <w:r w:rsidR="00D05737" w:rsidRPr="008D59AC">
        <w:rPr>
          <w:lang w:val="en-GB"/>
        </w:rPr>
        <w:t xml:space="preserve"> compared to 0.968, </w:t>
      </w:r>
      <w:r w:rsidR="0081499F" w:rsidRPr="008D59AC">
        <w:rPr>
          <w:lang w:val="en-GB"/>
        </w:rPr>
        <w:t>as reported by Song et al. (2010</w:t>
      </w:r>
      <w:r w:rsidR="00D05737" w:rsidRPr="008D59AC">
        <w:rPr>
          <w:lang w:val="en-GB"/>
        </w:rPr>
        <w:t>)</w:t>
      </w:r>
      <w:r w:rsidR="008F061E" w:rsidRPr="008D59AC">
        <w:rPr>
          <w:lang w:val="en-GB"/>
        </w:rPr>
        <w:t xml:space="preserve"> and 1.02, as documented by Goh et al. (201</w:t>
      </w:r>
      <w:r w:rsidR="00285006" w:rsidRPr="008D59AC">
        <w:rPr>
          <w:lang w:val="en-GB"/>
        </w:rPr>
        <w:t>5</w:t>
      </w:r>
      <w:r w:rsidR="008F061E" w:rsidRPr="008D59AC">
        <w:rPr>
          <w:lang w:val="en-GB"/>
        </w:rPr>
        <w:t>)</w:t>
      </w:r>
      <w:r w:rsidR="00D05737" w:rsidRPr="008D59AC">
        <w:rPr>
          <w:lang w:val="en-GB"/>
        </w:rPr>
        <w:t xml:space="preserve">. </w:t>
      </w:r>
      <w:r w:rsidR="00285006" w:rsidRPr="008D59AC">
        <w:rPr>
          <w:lang w:val="en-GB"/>
        </w:rPr>
        <w:t>Th</w:t>
      </w:r>
      <w:r w:rsidR="0050272C" w:rsidRPr="008D59AC">
        <w:rPr>
          <w:lang w:val="en-GB"/>
        </w:rPr>
        <w:t>ere are multiple explanations for</w:t>
      </w:r>
      <w:r w:rsidR="00285006" w:rsidRPr="008D59AC">
        <w:rPr>
          <w:lang w:val="en-GB"/>
        </w:rPr>
        <w:t xml:space="preserve"> the differences in coefficients. First,</w:t>
      </w:r>
      <w:r w:rsidR="005D6C64" w:rsidRPr="008D59AC">
        <w:rPr>
          <w:lang w:val="en-GB"/>
        </w:rPr>
        <w:t xml:space="preserve"> the</w:t>
      </w:r>
      <w:r w:rsidR="00285006" w:rsidRPr="008D59AC">
        <w:rPr>
          <w:lang w:val="en-GB"/>
        </w:rPr>
        <w:t xml:space="preserve"> economic heterogeneity</w:t>
      </w:r>
      <w:r w:rsidR="005D6C64" w:rsidRPr="008D59AC">
        <w:rPr>
          <w:lang w:val="en-GB"/>
        </w:rPr>
        <w:t xml:space="preserve"> </w:t>
      </w:r>
      <w:r w:rsidR="00285006" w:rsidRPr="008D59AC">
        <w:rPr>
          <w:lang w:val="en-GB"/>
        </w:rPr>
        <w:t xml:space="preserve">across </w:t>
      </w:r>
      <w:r w:rsidR="005D6C64" w:rsidRPr="008D59AC">
        <w:rPr>
          <w:lang w:val="en-GB"/>
        </w:rPr>
        <w:t>countries in the sample</w:t>
      </w:r>
      <w:r w:rsidR="008F061E" w:rsidRPr="008D59AC">
        <w:rPr>
          <w:lang w:val="en-GB"/>
        </w:rPr>
        <w:t xml:space="preserve"> </w:t>
      </w:r>
      <w:r w:rsidR="00285006" w:rsidRPr="008D59AC">
        <w:rPr>
          <w:lang w:val="en-GB"/>
        </w:rPr>
        <w:t>may drive the results in the regression analysis (Leuz et al.</w:t>
      </w:r>
      <w:r w:rsidR="00892CAA" w:rsidRPr="008D59AC">
        <w:rPr>
          <w:lang w:val="en-GB"/>
        </w:rPr>
        <w:t>,</w:t>
      </w:r>
      <w:r w:rsidR="00285006" w:rsidRPr="008D59AC">
        <w:rPr>
          <w:lang w:val="en-GB"/>
        </w:rPr>
        <w:t xml:space="preserve"> 2003). </w:t>
      </w:r>
      <w:r w:rsidR="0046459F" w:rsidRPr="008D59AC">
        <w:rPr>
          <w:lang w:val="en-GB"/>
        </w:rPr>
        <w:t>Second</w:t>
      </w:r>
      <w:r w:rsidR="00227659" w:rsidRPr="008D59AC">
        <w:rPr>
          <w:lang w:val="en-GB"/>
        </w:rPr>
        <w:t>,</w:t>
      </w:r>
      <w:r w:rsidR="0046459F" w:rsidRPr="008D59AC">
        <w:rPr>
          <w:lang w:val="en-GB"/>
        </w:rPr>
        <w:t xml:space="preserve"> assets and liabilities are more value relevant in countries with stronger investor protection</w:t>
      </w:r>
      <w:r w:rsidR="00227659" w:rsidRPr="008D59AC">
        <w:rPr>
          <w:lang w:val="en-GB"/>
        </w:rPr>
        <w:t>,</w:t>
      </w:r>
      <w:r w:rsidR="0046459F" w:rsidRPr="008D59AC">
        <w:rPr>
          <w:lang w:val="en-GB"/>
        </w:rPr>
        <w:t xml:space="preserve"> and the U.S</w:t>
      </w:r>
      <w:r w:rsidR="00E75037" w:rsidRPr="008D59AC">
        <w:rPr>
          <w:lang w:val="en-GB"/>
        </w:rPr>
        <w:t>.</w:t>
      </w:r>
      <w:r w:rsidR="0046459F" w:rsidRPr="008D59AC">
        <w:rPr>
          <w:lang w:val="en-GB"/>
        </w:rPr>
        <w:t xml:space="preserve"> is regarded as one of the countries with the strongest investor protection environment (DeFond et al. 2007). Third, the value relevance of book values is lower for firms following IFRS than for firms following US GAAP (Van der Meulen et al.</w:t>
      </w:r>
      <w:r w:rsidR="00892CAA" w:rsidRPr="008D59AC">
        <w:rPr>
          <w:lang w:val="en-GB"/>
        </w:rPr>
        <w:t>,</w:t>
      </w:r>
      <w:r w:rsidR="0046459F" w:rsidRPr="008D59AC">
        <w:rPr>
          <w:lang w:val="en-GB"/>
        </w:rPr>
        <w:t xml:space="preserve"> 2007)</w:t>
      </w:r>
      <w:r w:rsidR="00B0104E" w:rsidRPr="008D59AC">
        <w:rPr>
          <w:lang w:val="en-GB"/>
        </w:rPr>
        <w:t>.</w:t>
      </w:r>
      <w:r w:rsidR="00490388" w:rsidRPr="008D59AC">
        <w:rPr>
          <w:lang w:val="en-GB"/>
        </w:rPr>
        <w:t xml:space="preserve"> Due to the heterogeneity across countries and the other potential explanations, it is important to study smaller more homogenous clusters of countries.</w:t>
      </w:r>
      <w:r w:rsidR="00800EBA" w:rsidRPr="008D59AC">
        <w:rPr>
          <w:lang w:val="en-GB"/>
        </w:rPr>
        <w:t xml:space="preserve"> The results in Table 6 might not be representable due to the heterogeneous sample. </w:t>
      </w:r>
      <w:r w:rsidR="009C19A7" w:rsidRPr="008D59AC">
        <w:rPr>
          <w:lang w:val="en-GB"/>
        </w:rPr>
        <w:t xml:space="preserve">Even though the coefficients are fairly low compared to the </w:t>
      </w:r>
      <w:r w:rsidR="0046459F" w:rsidRPr="008D59AC">
        <w:rPr>
          <w:lang w:val="en-GB"/>
        </w:rPr>
        <w:t>coefficient in</w:t>
      </w:r>
      <w:r w:rsidR="009C19A7" w:rsidRPr="008D59AC">
        <w:rPr>
          <w:lang w:val="en-GB"/>
        </w:rPr>
        <w:t xml:space="preserve"> Song et al. (2010)</w:t>
      </w:r>
      <w:r w:rsidR="008F061E" w:rsidRPr="008D59AC">
        <w:rPr>
          <w:lang w:val="en-GB"/>
        </w:rPr>
        <w:t xml:space="preserve"> and Goh et al. (201</w:t>
      </w:r>
      <w:r w:rsidR="0046459F" w:rsidRPr="008D59AC">
        <w:rPr>
          <w:lang w:val="en-GB"/>
        </w:rPr>
        <w:t>5</w:t>
      </w:r>
      <w:r w:rsidR="008F061E" w:rsidRPr="008D59AC">
        <w:rPr>
          <w:lang w:val="en-GB"/>
        </w:rPr>
        <w:t>)</w:t>
      </w:r>
      <w:r w:rsidR="009C19A7" w:rsidRPr="008D59AC">
        <w:rPr>
          <w:lang w:val="en-GB"/>
        </w:rPr>
        <w:t>, all of the fair values are value relevant</w:t>
      </w:r>
      <w:r w:rsidR="0046459F" w:rsidRPr="008D59AC">
        <w:rPr>
          <w:lang w:val="en-GB"/>
        </w:rPr>
        <w:t xml:space="preserve"> and</w:t>
      </w:r>
      <w:r w:rsidR="002E22AE" w:rsidRPr="008D59AC">
        <w:rPr>
          <w:lang w:val="en-GB"/>
        </w:rPr>
        <w:t xml:space="preserve"> the coefficients are higher than their respective non-fair value coefficient</w:t>
      </w:r>
      <w:r w:rsidR="009C19A7" w:rsidRPr="008D59AC">
        <w:rPr>
          <w:lang w:val="en-GB"/>
        </w:rPr>
        <w:t>.</w:t>
      </w:r>
      <w:r w:rsidR="0046459F" w:rsidRPr="008D59AC">
        <w:rPr>
          <w:lang w:val="en-GB"/>
        </w:rPr>
        <w:t xml:space="preserve"> However, the value relevance of fair values is not monotonically decreasing when descending in the fair value hierarchy</w:t>
      </w:r>
      <w:r w:rsidR="005F5476" w:rsidRPr="008D59AC">
        <w:rPr>
          <w:lang w:val="en-GB"/>
        </w:rPr>
        <w:t xml:space="preserve"> from level 1 to level 3</w:t>
      </w:r>
      <w:r w:rsidR="0046459F" w:rsidRPr="008D59AC">
        <w:rPr>
          <w:lang w:val="en-GB"/>
        </w:rPr>
        <w:t>.</w:t>
      </w:r>
      <w:r w:rsidR="009C19A7" w:rsidRPr="008D59AC">
        <w:rPr>
          <w:lang w:val="en-GB"/>
        </w:rPr>
        <w:t xml:space="preserve"> </w:t>
      </w:r>
      <w:r w:rsidR="00E47425" w:rsidRPr="008D59AC">
        <w:rPr>
          <w:lang w:val="en-GB"/>
        </w:rPr>
        <w:t>Thus</w:t>
      </w:r>
      <w:r w:rsidR="009C19A7" w:rsidRPr="008D59AC">
        <w:rPr>
          <w:lang w:val="en-GB"/>
        </w:rPr>
        <w:t>,</w:t>
      </w:r>
      <w:r w:rsidR="008D59AC">
        <w:rPr>
          <w:lang w:val="en-GB"/>
        </w:rPr>
        <w:t xml:space="preserve"> when analys</w:t>
      </w:r>
      <w:r w:rsidR="0046459F" w:rsidRPr="008D59AC">
        <w:rPr>
          <w:lang w:val="en-GB"/>
        </w:rPr>
        <w:t>ing the pooled sample,</w:t>
      </w:r>
      <w:r w:rsidR="009C19A7" w:rsidRPr="008D59AC">
        <w:rPr>
          <w:lang w:val="en-GB"/>
        </w:rPr>
        <w:t xml:space="preserve"> Hypothesis 1 </w:t>
      </w:r>
      <w:r w:rsidR="0046459F" w:rsidRPr="008D59AC">
        <w:rPr>
          <w:lang w:val="en-GB"/>
        </w:rPr>
        <w:t>is</w:t>
      </w:r>
      <w:r w:rsidR="009C19A7" w:rsidRPr="008D59AC">
        <w:rPr>
          <w:lang w:val="en-GB"/>
        </w:rPr>
        <w:t xml:space="preserve"> rejected.</w:t>
      </w:r>
    </w:p>
    <w:p w:rsidR="00827A18" w:rsidRPr="008D59AC" w:rsidRDefault="000670DC" w:rsidP="00827A18">
      <w:pPr>
        <w:pStyle w:val="HHead2"/>
        <w:rPr>
          <w:lang w:val="en-GB"/>
        </w:rPr>
      </w:pPr>
      <w:r w:rsidRPr="008D59AC">
        <w:rPr>
          <w:lang w:val="en-GB"/>
        </w:rPr>
        <w:t>Value relev</w:t>
      </w:r>
      <w:r w:rsidR="00467303" w:rsidRPr="008D59AC">
        <w:rPr>
          <w:lang w:val="en-GB"/>
        </w:rPr>
        <w:t xml:space="preserve">ance of fair values and </w:t>
      </w:r>
      <w:r w:rsidRPr="008D59AC">
        <w:rPr>
          <w:lang w:val="en-GB"/>
        </w:rPr>
        <w:t>investor protection</w:t>
      </w:r>
    </w:p>
    <w:p w:rsidR="00654662" w:rsidRPr="008D59AC" w:rsidRDefault="00F96778" w:rsidP="00654662">
      <w:pPr>
        <w:pStyle w:val="HBodyText"/>
        <w:rPr>
          <w:lang w:val="en-GB"/>
        </w:rPr>
      </w:pPr>
      <w:r w:rsidRPr="008D59AC">
        <w:rPr>
          <w:lang w:val="en-GB"/>
        </w:rPr>
        <w:t xml:space="preserve">The value relevance of fair values in the fair value hierarchy </w:t>
      </w:r>
      <w:r w:rsidR="004A4593" w:rsidRPr="008D59AC">
        <w:rPr>
          <w:lang w:val="en-GB"/>
        </w:rPr>
        <w:t xml:space="preserve">in different investor protection environments is tested by splitting the sample into three separate clusters depending on the investor protection </w:t>
      </w:r>
      <w:r w:rsidR="000B58A5" w:rsidRPr="008D59AC">
        <w:rPr>
          <w:lang w:val="en-GB"/>
        </w:rPr>
        <w:t>environment</w:t>
      </w:r>
      <w:r w:rsidR="004A4593" w:rsidRPr="008D59AC">
        <w:rPr>
          <w:lang w:val="en-GB"/>
        </w:rPr>
        <w:t xml:space="preserve"> in the count</w:t>
      </w:r>
      <w:r w:rsidR="0030544F" w:rsidRPr="008D59AC">
        <w:rPr>
          <w:lang w:val="en-GB"/>
        </w:rPr>
        <w:t>ries. The three sub</w:t>
      </w:r>
      <w:r w:rsidR="002B02D9" w:rsidRPr="008D59AC">
        <w:rPr>
          <w:lang w:val="en-GB"/>
        </w:rPr>
        <w:t>samples are labelled</w:t>
      </w:r>
      <w:r w:rsidR="004A4593" w:rsidRPr="008D59AC">
        <w:rPr>
          <w:lang w:val="en-GB"/>
        </w:rPr>
        <w:t xml:space="preserve"> strong investor protection, medium investor protection, and weak investor protection.</w:t>
      </w:r>
      <w:r w:rsidRPr="008D59AC">
        <w:rPr>
          <w:lang w:val="en-GB"/>
        </w:rPr>
        <w:t xml:space="preserve"> Countries belonging to the medium investor protection cluster are countries that cannot be regarded to have either a strong investor protection environment or a weak investor protection environment.</w:t>
      </w:r>
    </w:p>
    <w:p w:rsidR="00654662" w:rsidRPr="008D59AC" w:rsidRDefault="00654662" w:rsidP="00654662">
      <w:pPr>
        <w:pStyle w:val="HBodyText"/>
        <w:rPr>
          <w:lang w:val="en-GB"/>
        </w:rPr>
      </w:pPr>
      <w:r w:rsidRPr="008D59AC">
        <w:rPr>
          <w:lang w:val="en-GB"/>
        </w:rPr>
        <w:t xml:space="preserve">(INSERT TABLE </w:t>
      </w:r>
      <w:r w:rsidR="007B5A1B" w:rsidRPr="008D59AC">
        <w:rPr>
          <w:lang w:val="en-GB"/>
        </w:rPr>
        <w:t>7</w:t>
      </w:r>
      <w:r w:rsidRPr="008D59AC">
        <w:rPr>
          <w:lang w:val="en-GB"/>
        </w:rPr>
        <w:t xml:space="preserve"> ABOUT HERE)</w:t>
      </w:r>
    </w:p>
    <w:p w:rsidR="004A4593" w:rsidRPr="008D59AC" w:rsidRDefault="004A4593" w:rsidP="00654662">
      <w:pPr>
        <w:pStyle w:val="HBodyText"/>
        <w:rPr>
          <w:lang w:val="en-GB"/>
        </w:rPr>
      </w:pPr>
      <w:r w:rsidRPr="008D59AC">
        <w:rPr>
          <w:lang w:val="en-GB"/>
        </w:rPr>
        <w:lastRenderedPageBreak/>
        <w:t xml:space="preserve">The regression results are presented in Table </w:t>
      </w:r>
      <w:r w:rsidR="007B5A1B" w:rsidRPr="008D59AC">
        <w:rPr>
          <w:lang w:val="en-GB"/>
        </w:rPr>
        <w:t>7</w:t>
      </w:r>
      <w:r w:rsidRPr="008D59AC">
        <w:rPr>
          <w:lang w:val="en-GB"/>
        </w:rPr>
        <w:t>. It is observable that the</w:t>
      </w:r>
      <w:r w:rsidR="00A769F6" w:rsidRPr="008D59AC">
        <w:rPr>
          <w:lang w:val="en-GB"/>
        </w:rPr>
        <w:t xml:space="preserve"> vast</w:t>
      </w:r>
      <w:r w:rsidR="007B5A1B" w:rsidRPr="008D59AC">
        <w:rPr>
          <w:lang w:val="en-GB"/>
        </w:rPr>
        <w:t xml:space="preserve"> majority of</w:t>
      </w:r>
      <w:r w:rsidRPr="008D59AC">
        <w:rPr>
          <w:lang w:val="en-GB"/>
        </w:rPr>
        <w:t xml:space="preserve"> fair values are </w:t>
      </w:r>
      <w:r w:rsidR="009417FB" w:rsidRPr="008D59AC">
        <w:rPr>
          <w:lang w:val="en-GB"/>
        </w:rPr>
        <w:t xml:space="preserve">value relevant in </w:t>
      </w:r>
      <w:r w:rsidRPr="008D59AC">
        <w:rPr>
          <w:lang w:val="en-GB"/>
        </w:rPr>
        <w:t>strong and medium investor prot</w:t>
      </w:r>
      <w:r w:rsidR="009417FB" w:rsidRPr="008D59AC">
        <w:rPr>
          <w:lang w:val="en-GB"/>
        </w:rPr>
        <w:t xml:space="preserve">ection environments. In </w:t>
      </w:r>
      <w:r w:rsidRPr="008D59AC">
        <w:rPr>
          <w:lang w:val="en-GB"/>
        </w:rPr>
        <w:t>weak investor protection</w:t>
      </w:r>
      <w:r w:rsidR="009417FB" w:rsidRPr="008D59AC">
        <w:rPr>
          <w:lang w:val="en-GB"/>
        </w:rPr>
        <w:t xml:space="preserve"> environments</w:t>
      </w:r>
      <w:r w:rsidR="002B02D9" w:rsidRPr="008D59AC">
        <w:rPr>
          <w:lang w:val="en-GB"/>
        </w:rPr>
        <w:t>,</w:t>
      </w:r>
      <w:r w:rsidRPr="008D59AC">
        <w:rPr>
          <w:lang w:val="en-GB"/>
        </w:rPr>
        <w:t xml:space="preserve"> </w:t>
      </w:r>
      <w:r w:rsidR="007B5A1B" w:rsidRPr="008D59AC">
        <w:rPr>
          <w:lang w:val="en-GB"/>
        </w:rPr>
        <w:t>only level 1 fair value assets are</w:t>
      </w:r>
      <w:r w:rsidR="009417FB" w:rsidRPr="008D59AC">
        <w:rPr>
          <w:lang w:val="en-GB"/>
        </w:rPr>
        <w:t xml:space="preserve"> value relevant to investors</w:t>
      </w:r>
      <w:r w:rsidR="00DE1853" w:rsidRPr="008D59AC">
        <w:rPr>
          <w:lang w:val="en-GB"/>
        </w:rPr>
        <w:t>. For firms in the strong investor protection cluster</w:t>
      </w:r>
      <w:r w:rsidR="002B02D9" w:rsidRPr="008D59AC">
        <w:rPr>
          <w:lang w:val="en-GB"/>
        </w:rPr>
        <w:t>,</w:t>
      </w:r>
      <w:r w:rsidR="00DE1853" w:rsidRPr="008D59AC">
        <w:rPr>
          <w:lang w:val="en-GB"/>
        </w:rPr>
        <w:t xml:space="preserve"> the fair value coefficients fo</w:t>
      </w:r>
      <w:r w:rsidR="004F6C42" w:rsidRPr="008D59AC">
        <w:rPr>
          <w:lang w:val="en-GB"/>
        </w:rPr>
        <w:t xml:space="preserve">r </w:t>
      </w:r>
      <w:r w:rsidR="004F6C42" w:rsidRPr="008D59AC">
        <w:rPr>
          <w:i/>
          <w:lang w:val="en-GB"/>
        </w:rPr>
        <w:t>FVA1,</w:t>
      </w:r>
      <w:r w:rsidR="00463A73" w:rsidRPr="008D59AC">
        <w:rPr>
          <w:i/>
          <w:lang w:val="en-GB"/>
        </w:rPr>
        <w:t xml:space="preserve"> FVA2</w:t>
      </w:r>
      <w:r w:rsidR="00463A73" w:rsidRPr="008D59AC">
        <w:rPr>
          <w:lang w:val="en-GB"/>
        </w:rPr>
        <w:t xml:space="preserve">, and </w:t>
      </w:r>
      <w:r w:rsidR="00463A73" w:rsidRPr="008D59AC">
        <w:rPr>
          <w:i/>
          <w:lang w:val="en-GB"/>
        </w:rPr>
        <w:t>FVA3</w:t>
      </w:r>
      <w:r w:rsidR="007B5A1B" w:rsidRPr="008D59AC">
        <w:rPr>
          <w:lang w:val="en-GB"/>
        </w:rPr>
        <w:t xml:space="preserve"> are 0.198, 0.247, and 0.211</w:t>
      </w:r>
      <w:r w:rsidR="00DE1853" w:rsidRPr="008D59AC">
        <w:rPr>
          <w:lang w:val="en-GB"/>
        </w:rPr>
        <w:t>, respectively.</w:t>
      </w:r>
      <w:r w:rsidR="00D517ED" w:rsidRPr="008D59AC">
        <w:rPr>
          <w:lang w:val="en-GB"/>
        </w:rPr>
        <w:t xml:space="preserve"> Level 2 assets are significantly more value relevant than level </w:t>
      </w:r>
      <w:r w:rsidR="007B5A1B" w:rsidRPr="008D59AC">
        <w:rPr>
          <w:lang w:val="en-GB"/>
        </w:rPr>
        <w:t xml:space="preserve">1 and </w:t>
      </w:r>
      <w:r w:rsidR="00D517ED" w:rsidRPr="008D59AC">
        <w:rPr>
          <w:lang w:val="en-GB"/>
        </w:rPr>
        <w:t>3 assets. Somewhat surprisingly, investors are willing to pay equally much for level 1 assets and level 3 assets. One explanation to th</w:t>
      </w:r>
      <w:r w:rsidR="0085546D" w:rsidRPr="008D59AC">
        <w:rPr>
          <w:lang w:val="en-GB"/>
        </w:rPr>
        <w:t>e findings</w:t>
      </w:r>
      <w:r w:rsidR="00D517ED" w:rsidRPr="008D59AC">
        <w:rPr>
          <w:lang w:val="en-GB"/>
        </w:rPr>
        <w:t xml:space="preserve"> may be that investors believe that firms in strong investor protection environments produce trustworthy fair value estimates (level 3) in a non-opportunistic manner and are thus not demanding a risk premium for investing in firms with level 3 fair value assets.</w:t>
      </w:r>
      <w:r w:rsidR="00A31B56" w:rsidRPr="008D59AC">
        <w:rPr>
          <w:lang w:val="en-GB"/>
        </w:rPr>
        <w:t xml:space="preserve"> Finally, the</w:t>
      </w:r>
      <w:r w:rsidR="0029444F" w:rsidRPr="008D59AC">
        <w:rPr>
          <w:lang w:val="en-GB"/>
        </w:rPr>
        <w:t xml:space="preserve"> results</w:t>
      </w:r>
      <w:r w:rsidR="00A31B56" w:rsidRPr="008D59AC">
        <w:rPr>
          <w:lang w:val="en-GB"/>
        </w:rPr>
        <w:t xml:space="preserve"> indicate that at least level 1 and </w:t>
      </w:r>
      <w:r w:rsidR="00CA0E1C" w:rsidRPr="008D59AC">
        <w:rPr>
          <w:lang w:val="en-GB"/>
        </w:rPr>
        <w:t>2</w:t>
      </w:r>
      <w:r w:rsidR="00A31B56" w:rsidRPr="008D59AC">
        <w:rPr>
          <w:lang w:val="en-GB"/>
        </w:rPr>
        <w:t xml:space="preserve"> assets are more value relevant</w:t>
      </w:r>
      <w:r w:rsidR="00C22F98" w:rsidRPr="008D59AC">
        <w:rPr>
          <w:lang w:val="en-GB"/>
        </w:rPr>
        <w:t xml:space="preserve"> than</w:t>
      </w:r>
      <w:r w:rsidR="00A31B56" w:rsidRPr="008D59AC">
        <w:rPr>
          <w:lang w:val="en-GB"/>
        </w:rPr>
        <w:t xml:space="preserve"> non-fair value assets for firms in the str</w:t>
      </w:r>
      <w:r w:rsidR="00463A73" w:rsidRPr="008D59AC">
        <w:rPr>
          <w:lang w:val="en-GB"/>
        </w:rPr>
        <w:t>ong investor protection cluster.</w:t>
      </w:r>
    </w:p>
    <w:p w:rsidR="00A31B56" w:rsidRPr="008D59AC" w:rsidRDefault="00A31B56" w:rsidP="00654662">
      <w:pPr>
        <w:pStyle w:val="HBodyText"/>
        <w:rPr>
          <w:lang w:val="en-GB"/>
        </w:rPr>
      </w:pPr>
      <w:r w:rsidRPr="008D59AC">
        <w:rPr>
          <w:lang w:val="en-GB"/>
        </w:rPr>
        <w:t>For the medium investor protection cluster the fair value coefficients for</w:t>
      </w:r>
      <w:r w:rsidR="00C216F9" w:rsidRPr="008D59AC">
        <w:rPr>
          <w:i/>
          <w:lang w:val="en-GB"/>
        </w:rPr>
        <w:t xml:space="preserve"> FVA1, FVA2,</w:t>
      </w:r>
      <w:r w:rsidR="00C216F9" w:rsidRPr="008D59AC">
        <w:rPr>
          <w:lang w:val="en-GB"/>
        </w:rPr>
        <w:t xml:space="preserve"> and </w:t>
      </w:r>
      <w:r w:rsidR="00C216F9" w:rsidRPr="008D59AC">
        <w:rPr>
          <w:i/>
          <w:lang w:val="en-GB"/>
        </w:rPr>
        <w:t>FVA3</w:t>
      </w:r>
      <w:r w:rsidR="007B5A1B" w:rsidRPr="008D59AC">
        <w:rPr>
          <w:lang w:val="en-GB"/>
        </w:rPr>
        <w:t>, are 0.428, 0.476, and 0.239, respectively.</w:t>
      </w:r>
      <w:r w:rsidRPr="008D59AC">
        <w:rPr>
          <w:lang w:val="en-GB"/>
        </w:rPr>
        <w:t xml:space="preserve"> For firms in the medium investor protection cluster level 1 and 2 assets are significantly more value relevant than level 3 assets. The difference in coefficients for level 1 and 2 assets is not significant, indicating that level 1 and 2 assets are reflected in the market value equally. Interestingly, in the medium investor protection cluster, investors are willing to pay less for 1 euro of level 3 assets than for 1 euro of all other assets (level 1, level 2, non-fair value assets). The findings in Table </w:t>
      </w:r>
      <w:r w:rsidR="007B5A1B" w:rsidRPr="008D59AC">
        <w:rPr>
          <w:lang w:val="en-GB"/>
        </w:rPr>
        <w:t>7</w:t>
      </w:r>
      <w:r w:rsidRPr="008D59AC">
        <w:rPr>
          <w:lang w:val="en-GB"/>
        </w:rPr>
        <w:t xml:space="preserve"> indicate that investors in firms belonging to the medium investor protection cluster are somewhat </w:t>
      </w:r>
      <w:r w:rsidR="008D59AC" w:rsidRPr="008D59AC">
        <w:rPr>
          <w:lang w:val="en-GB"/>
        </w:rPr>
        <w:t>sceptical</w:t>
      </w:r>
      <w:r w:rsidRPr="008D59AC">
        <w:rPr>
          <w:lang w:val="en-GB"/>
        </w:rPr>
        <w:t xml:space="preserve"> to the fair value estimates (level 3) and thus willing to pay a lower price for these </w:t>
      </w:r>
      <w:r w:rsidR="00800EBA" w:rsidRPr="008D59AC">
        <w:rPr>
          <w:lang w:val="en-GB"/>
        </w:rPr>
        <w:t>fair value estimates</w:t>
      </w:r>
      <w:r w:rsidRPr="008D59AC">
        <w:rPr>
          <w:lang w:val="en-GB"/>
        </w:rPr>
        <w:t>. I</w:t>
      </w:r>
      <w:r w:rsidR="00CA0E1C" w:rsidRPr="008D59AC">
        <w:rPr>
          <w:lang w:val="en-GB"/>
        </w:rPr>
        <w:t xml:space="preserve">nvestors are paying </w:t>
      </w:r>
      <w:r w:rsidR="007B5A1B" w:rsidRPr="008D59AC">
        <w:rPr>
          <w:lang w:val="en-GB"/>
        </w:rPr>
        <w:t>close to</w:t>
      </w:r>
      <w:r w:rsidR="00CA0E1C" w:rsidRPr="008D59AC">
        <w:rPr>
          <w:lang w:val="en-GB"/>
        </w:rPr>
        <w:t xml:space="preserve"> two times more for level 1 and level 2 assets than they are paying for the same amount of level 3 assets. Finally, </w:t>
      </w:r>
      <w:r w:rsidR="004F6C42" w:rsidRPr="008D59AC">
        <w:rPr>
          <w:lang w:val="en-GB"/>
        </w:rPr>
        <w:t>the fair value assets are not more value relevant than non-fair value assets for firm</w:t>
      </w:r>
      <w:r w:rsidR="002B02D9" w:rsidRPr="008D59AC">
        <w:rPr>
          <w:lang w:val="en-GB"/>
        </w:rPr>
        <w:t>s</w:t>
      </w:r>
      <w:r w:rsidR="004F6C42" w:rsidRPr="008D59AC">
        <w:rPr>
          <w:lang w:val="en-GB"/>
        </w:rPr>
        <w:t xml:space="preserve"> from countries in the medium investor protection cluster</w:t>
      </w:r>
      <w:r w:rsidR="00CA0E1C" w:rsidRPr="008D59AC">
        <w:rPr>
          <w:lang w:val="en-GB"/>
        </w:rPr>
        <w:t>.</w:t>
      </w:r>
    </w:p>
    <w:p w:rsidR="00A301DB" w:rsidRPr="008D59AC" w:rsidRDefault="003A43EC" w:rsidP="00A301DB">
      <w:pPr>
        <w:pStyle w:val="HBodyText"/>
        <w:rPr>
          <w:lang w:val="en-GB"/>
        </w:rPr>
      </w:pPr>
      <w:r w:rsidRPr="008D59AC">
        <w:rPr>
          <w:lang w:val="en-GB"/>
        </w:rPr>
        <w:t xml:space="preserve">For firms in the weak investor protection cluster </w:t>
      </w:r>
      <w:r w:rsidR="00C216F9" w:rsidRPr="008D59AC">
        <w:rPr>
          <w:lang w:val="en-GB"/>
        </w:rPr>
        <w:t xml:space="preserve">the </w:t>
      </w:r>
      <w:r w:rsidR="009A5AB0" w:rsidRPr="008D59AC">
        <w:rPr>
          <w:lang w:val="en-GB"/>
        </w:rPr>
        <w:t>fair value estimates (level 2 and 3)</w:t>
      </w:r>
      <w:r w:rsidRPr="008D59AC">
        <w:rPr>
          <w:lang w:val="en-GB"/>
        </w:rPr>
        <w:t xml:space="preserve"> are no longer value relevant</w:t>
      </w:r>
      <w:r w:rsidR="00C216F9" w:rsidRPr="008D59AC">
        <w:rPr>
          <w:lang w:val="en-GB"/>
        </w:rPr>
        <w:t xml:space="preserve"> to investors</w:t>
      </w:r>
      <w:r w:rsidRPr="008D59AC">
        <w:rPr>
          <w:lang w:val="en-GB"/>
        </w:rPr>
        <w:t xml:space="preserve">. </w:t>
      </w:r>
      <w:r w:rsidR="005E2744" w:rsidRPr="008D59AC">
        <w:rPr>
          <w:lang w:val="en-GB"/>
        </w:rPr>
        <w:t>Only level 1 fair value assets</w:t>
      </w:r>
      <w:r w:rsidR="009A5AB0" w:rsidRPr="008D59AC">
        <w:rPr>
          <w:lang w:val="en-GB"/>
        </w:rPr>
        <w:t xml:space="preserve"> (market prices)</w:t>
      </w:r>
      <w:r w:rsidR="005E2744" w:rsidRPr="008D59AC">
        <w:rPr>
          <w:lang w:val="en-GB"/>
        </w:rPr>
        <w:t xml:space="preserve"> are significantly reflected in the market value of equity (</w:t>
      </w:r>
      <w:r w:rsidR="005E2744" w:rsidRPr="008D59AC">
        <w:rPr>
          <w:i/>
          <w:lang w:val="en-GB"/>
        </w:rPr>
        <w:t>FVA1</w:t>
      </w:r>
      <w:r w:rsidR="005E2744" w:rsidRPr="008D59AC">
        <w:rPr>
          <w:lang w:val="en-GB"/>
        </w:rPr>
        <w:t xml:space="preserve"> = 0.194).</w:t>
      </w:r>
      <w:r w:rsidR="00A301DB" w:rsidRPr="008D59AC">
        <w:rPr>
          <w:lang w:val="en-GB"/>
        </w:rPr>
        <w:t xml:space="preserve"> </w:t>
      </w:r>
      <w:r w:rsidR="005E2744" w:rsidRPr="008D59AC">
        <w:rPr>
          <w:lang w:val="en-GB"/>
        </w:rPr>
        <w:t>T</w:t>
      </w:r>
      <w:r w:rsidR="00A301DB" w:rsidRPr="008D59AC">
        <w:rPr>
          <w:lang w:val="en-GB"/>
        </w:rPr>
        <w:t xml:space="preserve">he adjusted R-squared is low compared to the adjusted R-squared of the other clusters’ regression analyses. </w:t>
      </w:r>
      <w:r w:rsidR="005E2744" w:rsidRPr="008D59AC">
        <w:rPr>
          <w:lang w:val="en-GB"/>
        </w:rPr>
        <w:t>S</w:t>
      </w:r>
      <w:r w:rsidR="00A301DB" w:rsidRPr="008D59AC">
        <w:rPr>
          <w:lang w:val="en-GB"/>
        </w:rPr>
        <w:t xml:space="preserve">urprisingly, non-fair value assets and liabilities are not significant; indicating that book value of equity is not reflected into the market value of equity in firms from countries with a weak investor protection environment. That is, given that the Ohlson (1995) valuation theory is true, market value of equity is only affected by </w:t>
      </w:r>
      <w:r w:rsidR="005E2744" w:rsidRPr="008D59AC">
        <w:rPr>
          <w:lang w:val="en-GB"/>
        </w:rPr>
        <w:t xml:space="preserve">the book value of level 1 fair value assets and </w:t>
      </w:r>
      <w:r w:rsidR="00A301DB" w:rsidRPr="008D59AC">
        <w:rPr>
          <w:lang w:val="en-GB"/>
        </w:rPr>
        <w:t>earnings per share. These findings indicate that there is a very low trust in accounting numbers in weak investor protection environments and the investors seem to only care about the bottom-line of the income statement when making investment decisions.</w:t>
      </w:r>
    </w:p>
    <w:p w:rsidR="00A7290A" w:rsidRPr="008D59AC" w:rsidRDefault="00CC7130" w:rsidP="00654662">
      <w:pPr>
        <w:pStyle w:val="HBodyText"/>
        <w:rPr>
          <w:lang w:val="en-GB"/>
        </w:rPr>
      </w:pPr>
      <w:r w:rsidRPr="008D59AC">
        <w:rPr>
          <w:lang w:val="en-GB"/>
        </w:rPr>
        <w:lastRenderedPageBreak/>
        <w:t>To s</w:t>
      </w:r>
      <w:r w:rsidR="00C62980" w:rsidRPr="008D59AC">
        <w:rPr>
          <w:lang w:val="en-GB"/>
        </w:rPr>
        <w:t xml:space="preserve">ummarize the </w:t>
      </w:r>
      <w:r w:rsidR="0029444F" w:rsidRPr="008D59AC">
        <w:rPr>
          <w:lang w:val="en-GB"/>
        </w:rPr>
        <w:t>results</w:t>
      </w:r>
      <w:r w:rsidR="005E2744" w:rsidRPr="008D59AC">
        <w:rPr>
          <w:lang w:val="en-GB"/>
        </w:rPr>
        <w:t xml:space="preserve"> in Table 7</w:t>
      </w:r>
      <w:r w:rsidRPr="008D59AC">
        <w:rPr>
          <w:lang w:val="en-GB"/>
        </w:rPr>
        <w:t>, the fair values in strong and medium investor protection environment</w:t>
      </w:r>
      <w:r w:rsidR="002B02D9" w:rsidRPr="008D59AC">
        <w:rPr>
          <w:lang w:val="en-GB"/>
        </w:rPr>
        <w:t>s</w:t>
      </w:r>
      <w:r w:rsidRPr="008D59AC">
        <w:rPr>
          <w:lang w:val="en-GB"/>
        </w:rPr>
        <w:t xml:space="preserve"> are more value</w:t>
      </w:r>
      <w:r w:rsidR="008D56D0" w:rsidRPr="008D59AC">
        <w:rPr>
          <w:lang w:val="en-GB"/>
        </w:rPr>
        <w:t xml:space="preserve"> relevant for investors than</w:t>
      </w:r>
      <w:r w:rsidRPr="008D59AC">
        <w:rPr>
          <w:lang w:val="en-GB"/>
        </w:rPr>
        <w:t xml:space="preserve"> the fair values in weak investor protection environments. Firms from countries with a strong investor protection generate fair value estimates (level 3) of highest value relevance</w:t>
      </w:r>
      <w:r w:rsidR="005E2744" w:rsidRPr="008D59AC">
        <w:rPr>
          <w:lang w:val="en-GB"/>
        </w:rPr>
        <w:t xml:space="preserve"> compared to </w:t>
      </w:r>
      <w:r w:rsidR="009A5AB0" w:rsidRPr="008D59AC">
        <w:rPr>
          <w:lang w:val="en-GB"/>
        </w:rPr>
        <w:t>level 1 fair value assets</w:t>
      </w:r>
      <w:r w:rsidRPr="008D59AC">
        <w:rPr>
          <w:lang w:val="en-GB"/>
        </w:rPr>
        <w:t>. In the strong investor protection cluster</w:t>
      </w:r>
      <w:r w:rsidR="002B02D9" w:rsidRPr="008D59AC">
        <w:rPr>
          <w:lang w:val="en-GB"/>
        </w:rPr>
        <w:t>,</w:t>
      </w:r>
      <w:r w:rsidRPr="008D59AC">
        <w:rPr>
          <w:lang w:val="en-GB"/>
        </w:rPr>
        <w:t xml:space="preserve"> there are </w:t>
      </w:r>
      <w:r w:rsidR="005E2744" w:rsidRPr="008D59AC">
        <w:rPr>
          <w:lang w:val="en-GB"/>
        </w:rPr>
        <w:t>only small</w:t>
      </w:r>
      <w:r w:rsidRPr="008D59AC">
        <w:rPr>
          <w:lang w:val="en-GB"/>
        </w:rPr>
        <w:t xml:space="preserve"> differences in how investor</w:t>
      </w:r>
      <w:r w:rsidR="002B02D9" w:rsidRPr="008D59AC">
        <w:rPr>
          <w:lang w:val="en-GB"/>
        </w:rPr>
        <w:t>s</w:t>
      </w:r>
      <w:r w:rsidRPr="008D59AC">
        <w:rPr>
          <w:lang w:val="en-GB"/>
        </w:rPr>
        <w:t xml:space="preserve"> value fair value assets and liabilities depending on the level in the fair value hierarchy they belong to. In the medium investor protection environment, however, level 1 and 2 assets are valued</w:t>
      </w:r>
      <w:r w:rsidR="005E2744" w:rsidRPr="008D59AC">
        <w:rPr>
          <w:lang w:val="en-GB"/>
        </w:rPr>
        <w:t xml:space="preserve"> significantly</w:t>
      </w:r>
      <w:r w:rsidRPr="008D59AC">
        <w:rPr>
          <w:lang w:val="en-GB"/>
        </w:rPr>
        <w:t xml:space="preserve"> higher than level 3 assets, indicating some differences in the value relevance depending on the level of the fair value hierarchy. </w:t>
      </w:r>
      <w:r w:rsidR="00A301DB" w:rsidRPr="008D59AC">
        <w:rPr>
          <w:lang w:val="en-GB"/>
        </w:rPr>
        <w:t>Finally, in the weak investor protection environment</w:t>
      </w:r>
      <w:r w:rsidR="002B02D9" w:rsidRPr="008D59AC">
        <w:rPr>
          <w:lang w:val="en-GB"/>
        </w:rPr>
        <w:t>,</w:t>
      </w:r>
      <w:r w:rsidR="00A301DB" w:rsidRPr="008D59AC">
        <w:rPr>
          <w:lang w:val="en-GB"/>
        </w:rPr>
        <w:t xml:space="preserve"> </w:t>
      </w:r>
      <w:r w:rsidR="005E2744" w:rsidRPr="008D59AC">
        <w:rPr>
          <w:lang w:val="en-GB"/>
        </w:rPr>
        <w:t>only level 1 assets are value relevant</w:t>
      </w:r>
      <w:r w:rsidR="00A301DB" w:rsidRPr="008D59AC">
        <w:rPr>
          <w:lang w:val="en-GB"/>
        </w:rPr>
        <w:t>. Hence, the value relevance of fair values seems to vary across i</w:t>
      </w:r>
      <w:r w:rsidR="002B02D9" w:rsidRPr="008D59AC">
        <w:rPr>
          <w:lang w:val="en-GB"/>
        </w:rPr>
        <w:t>nvestor protection environments</w:t>
      </w:r>
      <w:r w:rsidR="009A5AB0" w:rsidRPr="008D59AC">
        <w:rPr>
          <w:lang w:val="en-GB"/>
        </w:rPr>
        <w:t>.</w:t>
      </w:r>
      <w:r w:rsidR="00A301DB" w:rsidRPr="008D59AC">
        <w:rPr>
          <w:lang w:val="en-GB"/>
        </w:rPr>
        <w:t xml:space="preserve"> </w:t>
      </w:r>
      <w:r w:rsidR="009A5AB0" w:rsidRPr="008D59AC">
        <w:rPr>
          <w:lang w:val="en-GB"/>
        </w:rPr>
        <w:t>F</w:t>
      </w:r>
      <w:r w:rsidRPr="008D59AC">
        <w:rPr>
          <w:lang w:val="en-GB"/>
        </w:rPr>
        <w:t>irms fr</w:t>
      </w:r>
      <w:r w:rsidR="00642ED7" w:rsidRPr="008D59AC">
        <w:rPr>
          <w:lang w:val="en-GB"/>
        </w:rPr>
        <w:t>om strong and medium</w:t>
      </w:r>
      <w:r w:rsidRPr="008D59AC">
        <w:rPr>
          <w:lang w:val="en-GB"/>
        </w:rPr>
        <w:t xml:space="preserve"> investor protection environments have the highest </w:t>
      </w:r>
      <w:r w:rsidR="003C2EAC" w:rsidRPr="008D59AC">
        <w:rPr>
          <w:lang w:val="en-GB"/>
        </w:rPr>
        <w:t>value relevance of fair values and firms from the weakest investor prot</w:t>
      </w:r>
      <w:r w:rsidR="002B02D9" w:rsidRPr="008D59AC">
        <w:rPr>
          <w:lang w:val="en-GB"/>
        </w:rPr>
        <w:t>ection environment</w:t>
      </w:r>
      <w:r w:rsidR="003C2EAC" w:rsidRPr="008D59AC">
        <w:rPr>
          <w:lang w:val="en-GB"/>
        </w:rPr>
        <w:t xml:space="preserve"> have the lowest value relevance of fair values. </w:t>
      </w:r>
      <w:r w:rsidR="005443AD" w:rsidRPr="008D59AC">
        <w:rPr>
          <w:lang w:val="en-GB"/>
        </w:rPr>
        <w:t>Thus, t</w:t>
      </w:r>
      <w:r w:rsidR="003C2EAC" w:rsidRPr="008D59AC">
        <w:rPr>
          <w:lang w:val="en-GB"/>
        </w:rPr>
        <w:t xml:space="preserve">he value relevance of fair values is positively associated with the investor protection environment </w:t>
      </w:r>
      <w:r w:rsidR="00EE4CA6" w:rsidRPr="008D59AC">
        <w:rPr>
          <w:lang w:val="en-GB"/>
        </w:rPr>
        <w:t xml:space="preserve">of the </w:t>
      </w:r>
      <w:r w:rsidR="003C2EAC" w:rsidRPr="008D59AC">
        <w:rPr>
          <w:lang w:val="en-GB"/>
        </w:rPr>
        <w:t xml:space="preserve">firm’s </w:t>
      </w:r>
      <w:r w:rsidR="00A73483" w:rsidRPr="008D59AC">
        <w:rPr>
          <w:lang w:val="en-GB"/>
        </w:rPr>
        <w:t>home country.</w:t>
      </w:r>
      <w:r w:rsidR="00642ED7" w:rsidRPr="008D59AC">
        <w:rPr>
          <w:lang w:val="en-GB"/>
        </w:rPr>
        <w:t xml:space="preserve"> In addition, the difference in value relevance between marke</w:t>
      </w:r>
      <w:r w:rsidR="003C5E31" w:rsidRPr="008D59AC">
        <w:rPr>
          <w:lang w:val="en-GB"/>
        </w:rPr>
        <w:t>t values (l</w:t>
      </w:r>
      <w:r w:rsidR="00642ED7" w:rsidRPr="008D59AC">
        <w:rPr>
          <w:lang w:val="en-GB"/>
        </w:rPr>
        <w:t>eve</w:t>
      </w:r>
      <w:r w:rsidR="003C5E31" w:rsidRPr="008D59AC">
        <w:rPr>
          <w:lang w:val="en-GB"/>
        </w:rPr>
        <w:t>l 1) and fair value estimates (l</w:t>
      </w:r>
      <w:r w:rsidR="00642ED7" w:rsidRPr="008D59AC">
        <w:rPr>
          <w:lang w:val="en-GB"/>
        </w:rPr>
        <w:t>evel 3) seems to decrease with the quality of investor protection.</w:t>
      </w:r>
      <w:r w:rsidR="007D41A1" w:rsidRPr="008D59AC">
        <w:rPr>
          <w:lang w:val="en-GB"/>
        </w:rPr>
        <w:t xml:space="preserve"> Higher investor protection leads to lower difference in the value relevance of level 1 and 3 fair values.</w:t>
      </w:r>
      <w:r w:rsidR="00642ED7" w:rsidRPr="008D59AC">
        <w:rPr>
          <w:lang w:val="en-GB"/>
        </w:rPr>
        <w:t xml:space="preserve"> </w:t>
      </w:r>
      <w:r w:rsidR="00A73483" w:rsidRPr="008D59AC">
        <w:rPr>
          <w:lang w:val="en-GB"/>
        </w:rPr>
        <w:t>Thus, Hypothesis 2</w:t>
      </w:r>
      <w:r w:rsidR="003C2EAC" w:rsidRPr="008D59AC">
        <w:rPr>
          <w:lang w:val="en-GB"/>
        </w:rPr>
        <w:t xml:space="preserve"> cannot be rejected.</w:t>
      </w:r>
      <w:r w:rsidR="003D409C" w:rsidRPr="008D59AC">
        <w:rPr>
          <w:rStyle w:val="FootnoteReference"/>
          <w:lang w:val="en-GB"/>
        </w:rPr>
        <w:footnoteReference w:id="12"/>
      </w:r>
    </w:p>
    <w:p w:rsidR="00B046BB" w:rsidRPr="008D59AC" w:rsidRDefault="00B046BB" w:rsidP="001314F4">
      <w:pPr>
        <w:pStyle w:val="HHead2"/>
        <w:rPr>
          <w:lang w:val="en-GB"/>
        </w:rPr>
      </w:pPr>
      <w:r w:rsidRPr="008D59AC">
        <w:rPr>
          <w:lang w:val="en-GB"/>
        </w:rPr>
        <w:t>Robustness check</w:t>
      </w:r>
    </w:p>
    <w:p w:rsidR="00052420" w:rsidRPr="008D59AC" w:rsidRDefault="00052420" w:rsidP="00052420">
      <w:pPr>
        <w:pStyle w:val="HBodyText"/>
        <w:rPr>
          <w:lang w:val="en-GB"/>
        </w:rPr>
      </w:pPr>
      <w:r w:rsidRPr="008D59AC">
        <w:rPr>
          <w:lang w:val="en-GB"/>
        </w:rPr>
        <w:t xml:space="preserve">The robustness of the results is firstly checked by changing the time for the variable </w:t>
      </w:r>
      <w:r w:rsidRPr="008D59AC">
        <w:rPr>
          <w:i/>
          <w:lang w:val="en-GB"/>
        </w:rPr>
        <w:t>P</w:t>
      </w:r>
      <w:r w:rsidR="00C71E75" w:rsidRPr="008D59AC">
        <w:rPr>
          <w:i/>
          <w:lang w:val="en-GB"/>
        </w:rPr>
        <w:t>rice</w:t>
      </w:r>
      <w:r w:rsidRPr="008D59AC">
        <w:rPr>
          <w:lang w:val="en-GB"/>
        </w:rPr>
        <w:t>. In this study</w:t>
      </w:r>
      <w:r w:rsidR="002B02D9" w:rsidRPr="008D59AC">
        <w:rPr>
          <w:lang w:val="en-GB"/>
        </w:rPr>
        <w:t>,</w:t>
      </w:r>
      <w:r w:rsidRPr="008D59AC">
        <w:rPr>
          <w:lang w:val="en-GB"/>
        </w:rPr>
        <w:t xml:space="preserve"> </w:t>
      </w:r>
      <w:r w:rsidRPr="008D59AC">
        <w:rPr>
          <w:i/>
          <w:lang w:val="en-GB"/>
        </w:rPr>
        <w:t>P</w:t>
      </w:r>
      <w:r w:rsidR="00C71E75" w:rsidRPr="008D59AC">
        <w:rPr>
          <w:i/>
          <w:lang w:val="en-GB"/>
        </w:rPr>
        <w:t>rice</w:t>
      </w:r>
      <w:r w:rsidRPr="008D59AC">
        <w:rPr>
          <w:lang w:val="en-GB"/>
        </w:rPr>
        <w:t xml:space="preserve"> is the closing price of April 30</w:t>
      </w:r>
      <w:r w:rsidRPr="008D59AC">
        <w:rPr>
          <w:vertAlign w:val="superscript"/>
          <w:lang w:val="en-GB"/>
        </w:rPr>
        <w:t>th</w:t>
      </w:r>
      <w:r w:rsidR="00BF5E0B" w:rsidRPr="008D59AC">
        <w:rPr>
          <w:lang w:val="en-GB"/>
        </w:rPr>
        <w:t xml:space="preserve"> for the</w:t>
      </w:r>
      <w:r w:rsidRPr="008D59AC">
        <w:rPr>
          <w:lang w:val="en-GB"/>
        </w:rPr>
        <w:t xml:space="preserve"> specific stock</w:t>
      </w:r>
      <w:r w:rsidR="0083217F" w:rsidRPr="008D59AC">
        <w:rPr>
          <w:lang w:val="en-GB"/>
        </w:rPr>
        <w:t>, as suggested by Barth et al. (2014)</w:t>
      </w:r>
      <w:r w:rsidR="002B02D9" w:rsidRPr="008D59AC">
        <w:rPr>
          <w:lang w:val="en-GB"/>
        </w:rPr>
        <w:t>. Additional</w:t>
      </w:r>
      <w:r w:rsidR="00740AB7" w:rsidRPr="008D59AC">
        <w:rPr>
          <w:lang w:val="en-GB"/>
        </w:rPr>
        <w:t xml:space="preserve"> analyse</w:t>
      </w:r>
      <w:r w:rsidRPr="008D59AC">
        <w:rPr>
          <w:lang w:val="en-GB"/>
        </w:rPr>
        <w:t xml:space="preserve">s using different days (March </w:t>
      </w:r>
      <w:r w:rsidR="00BF5E0B" w:rsidRPr="008D59AC">
        <w:rPr>
          <w:lang w:val="en-GB"/>
        </w:rPr>
        <w:t>31</w:t>
      </w:r>
      <w:r w:rsidR="00BF5E0B" w:rsidRPr="008D59AC">
        <w:rPr>
          <w:vertAlign w:val="superscript"/>
          <w:lang w:val="en-GB"/>
        </w:rPr>
        <w:t>st</w:t>
      </w:r>
      <w:r w:rsidR="00BF5E0B" w:rsidRPr="008D59AC">
        <w:rPr>
          <w:lang w:val="en-GB"/>
        </w:rPr>
        <w:t>,</w:t>
      </w:r>
      <w:r w:rsidRPr="008D59AC">
        <w:rPr>
          <w:lang w:val="en-GB"/>
        </w:rPr>
        <w:t xml:space="preserve"> May </w:t>
      </w:r>
      <w:r w:rsidR="00BF5E0B" w:rsidRPr="008D59AC">
        <w:rPr>
          <w:lang w:val="en-GB"/>
        </w:rPr>
        <w:t>31</w:t>
      </w:r>
      <w:r w:rsidR="00BF5E0B" w:rsidRPr="008D59AC">
        <w:rPr>
          <w:vertAlign w:val="superscript"/>
          <w:lang w:val="en-GB"/>
        </w:rPr>
        <w:t>st</w:t>
      </w:r>
      <w:r w:rsidR="00BF5E0B" w:rsidRPr="008D59AC">
        <w:rPr>
          <w:lang w:val="en-GB"/>
        </w:rPr>
        <w:t>,</w:t>
      </w:r>
      <w:r w:rsidRPr="008D59AC">
        <w:rPr>
          <w:lang w:val="en-GB"/>
        </w:rPr>
        <w:t xml:space="preserve"> and June 30</w:t>
      </w:r>
      <w:r w:rsidRPr="008D59AC">
        <w:rPr>
          <w:vertAlign w:val="superscript"/>
          <w:lang w:val="en-GB"/>
        </w:rPr>
        <w:t>th</w:t>
      </w:r>
      <w:r w:rsidRPr="008D59AC">
        <w:rPr>
          <w:lang w:val="en-GB"/>
        </w:rPr>
        <w:t>) yield approximately similar results</w:t>
      </w:r>
      <w:r w:rsidR="00740AB7" w:rsidRPr="008D59AC">
        <w:rPr>
          <w:lang w:val="en-GB"/>
        </w:rPr>
        <w:t xml:space="preserve"> (not tabulated)</w:t>
      </w:r>
      <w:r w:rsidRPr="008D59AC">
        <w:rPr>
          <w:lang w:val="en-GB"/>
        </w:rPr>
        <w:t xml:space="preserve">. </w:t>
      </w:r>
      <w:r w:rsidR="005C2DEE" w:rsidRPr="008D59AC">
        <w:rPr>
          <w:lang w:val="en-GB"/>
        </w:rPr>
        <w:t>Thus, i</w:t>
      </w:r>
      <w:r w:rsidRPr="008D59AC">
        <w:rPr>
          <w:lang w:val="en-GB"/>
        </w:rPr>
        <w:t>ndependent of the choice of date, the fair values in the fair value hierarchy are value relevant</w:t>
      </w:r>
      <w:r w:rsidR="00740AB7" w:rsidRPr="008D59AC">
        <w:rPr>
          <w:lang w:val="en-GB"/>
        </w:rPr>
        <w:t xml:space="preserve">. </w:t>
      </w:r>
      <w:r w:rsidR="00FC48AF" w:rsidRPr="008D59AC">
        <w:rPr>
          <w:lang w:val="en-GB"/>
        </w:rPr>
        <w:t>Further, when testi</w:t>
      </w:r>
      <w:r w:rsidR="00601DC3" w:rsidRPr="008D59AC">
        <w:rPr>
          <w:lang w:val="en-GB"/>
        </w:rPr>
        <w:t xml:space="preserve">ng with different time for </w:t>
      </w:r>
      <w:r w:rsidR="00C71E75" w:rsidRPr="008D59AC">
        <w:rPr>
          <w:i/>
          <w:lang w:val="en-GB"/>
        </w:rPr>
        <w:t>Price</w:t>
      </w:r>
      <w:r w:rsidR="00FC48AF" w:rsidRPr="008D59AC">
        <w:rPr>
          <w:lang w:val="en-GB"/>
        </w:rPr>
        <w:t xml:space="preserve"> for all of</w:t>
      </w:r>
      <w:r w:rsidR="0030544F" w:rsidRPr="008D59AC">
        <w:rPr>
          <w:lang w:val="en-GB"/>
        </w:rPr>
        <w:t xml:space="preserve"> the three sub</w:t>
      </w:r>
      <w:r w:rsidR="00FC48AF" w:rsidRPr="008D59AC">
        <w:rPr>
          <w:lang w:val="en-GB"/>
        </w:rPr>
        <w:t>samples, the variation in the results is not significant. Only minor changes to the coefficients are observable.</w:t>
      </w:r>
      <w:r w:rsidRPr="008D59AC">
        <w:rPr>
          <w:lang w:val="en-GB"/>
        </w:rPr>
        <w:t xml:space="preserve"> Hence, the results of this study are robust to the choice</w:t>
      </w:r>
      <w:r w:rsidR="00FC48AF" w:rsidRPr="008D59AC">
        <w:rPr>
          <w:lang w:val="en-GB"/>
        </w:rPr>
        <w:t xml:space="preserve"> of date for the </w:t>
      </w:r>
      <w:r w:rsidR="00FC48AF" w:rsidRPr="008D59AC">
        <w:rPr>
          <w:i/>
          <w:lang w:val="en-GB"/>
        </w:rPr>
        <w:t>P</w:t>
      </w:r>
      <w:r w:rsidR="00C71E75" w:rsidRPr="008D59AC">
        <w:rPr>
          <w:i/>
          <w:lang w:val="en-GB"/>
        </w:rPr>
        <w:t>rice</w:t>
      </w:r>
      <w:r w:rsidR="00FC48AF" w:rsidRPr="008D59AC">
        <w:rPr>
          <w:lang w:val="en-GB"/>
        </w:rPr>
        <w:t xml:space="preserve"> variable, </w:t>
      </w:r>
      <w:r w:rsidR="00482F26" w:rsidRPr="008D59AC">
        <w:rPr>
          <w:lang w:val="en-GB"/>
        </w:rPr>
        <w:t>at least when the</w:t>
      </w:r>
      <w:r w:rsidR="00FC48AF" w:rsidRPr="008D59AC">
        <w:rPr>
          <w:lang w:val="en-GB"/>
        </w:rPr>
        <w:t xml:space="preserve"> chosen date is </w:t>
      </w:r>
      <w:r w:rsidR="00482F26" w:rsidRPr="008D59AC">
        <w:rPr>
          <w:lang w:val="en-GB"/>
        </w:rPr>
        <w:t>not more</w:t>
      </w:r>
      <w:r w:rsidR="00FC48AF" w:rsidRPr="008D59AC">
        <w:rPr>
          <w:lang w:val="en-GB"/>
        </w:rPr>
        <w:t xml:space="preserve"> than 6 months from the fiscal-year end.</w:t>
      </w:r>
    </w:p>
    <w:p w:rsidR="0084657F" w:rsidRPr="008D59AC" w:rsidRDefault="00482F26" w:rsidP="001314F4">
      <w:pPr>
        <w:pStyle w:val="HBodyText"/>
        <w:rPr>
          <w:lang w:val="en-GB"/>
        </w:rPr>
      </w:pPr>
      <w:r w:rsidRPr="008D59AC">
        <w:rPr>
          <w:lang w:val="en-GB"/>
        </w:rPr>
        <w:t xml:space="preserve">Song et al. (2010) argue that investors find fair value estimates by managers at small banks less reliable. Thus, the value relevance of fair values might vary between </w:t>
      </w:r>
      <w:r w:rsidR="00E47713" w:rsidRPr="008D59AC">
        <w:rPr>
          <w:lang w:val="en-GB"/>
        </w:rPr>
        <w:t>large and small financial firms</w:t>
      </w:r>
      <w:r w:rsidRPr="008D59AC">
        <w:rPr>
          <w:lang w:val="en-GB"/>
        </w:rPr>
        <w:t xml:space="preserve">. </w:t>
      </w:r>
      <w:r w:rsidR="00F341E8" w:rsidRPr="008D59AC">
        <w:rPr>
          <w:lang w:val="en-GB"/>
        </w:rPr>
        <w:lastRenderedPageBreak/>
        <w:t>Additional analysis shows that</w:t>
      </w:r>
      <w:r w:rsidRPr="008D59AC">
        <w:rPr>
          <w:lang w:val="en-GB"/>
        </w:rPr>
        <w:t xml:space="preserve"> valua</w:t>
      </w:r>
      <w:r w:rsidR="005C2DEE" w:rsidRPr="008D59AC">
        <w:rPr>
          <w:lang w:val="en-GB"/>
        </w:rPr>
        <w:t>tion coefficients are higher for</w:t>
      </w:r>
      <w:r w:rsidRPr="008D59AC">
        <w:rPr>
          <w:lang w:val="en-GB"/>
        </w:rPr>
        <w:t xml:space="preserve"> small financial firms than </w:t>
      </w:r>
      <w:r w:rsidR="00F341E8" w:rsidRPr="008D59AC">
        <w:rPr>
          <w:lang w:val="en-GB"/>
        </w:rPr>
        <w:t xml:space="preserve">the coefficients </w:t>
      </w:r>
      <w:r w:rsidR="005C2DEE" w:rsidRPr="008D59AC">
        <w:rPr>
          <w:lang w:val="en-GB"/>
        </w:rPr>
        <w:t>for</w:t>
      </w:r>
      <w:r w:rsidRPr="008D59AC">
        <w:rPr>
          <w:lang w:val="en-GB"/>
        </w:rPr>
        <w:t xml:space="preserve"> large financial firms</w:t>
      </w:r>
      <w:r w:rsidR="00740AB7" w:rsidRPr="008D59AC">
        <w:rPr>
          <w:lang w:val="en-GB"/>
        </w:rPr>
        <w:t xml:space="preserve"> (not tabulated)</w:t>
      </w:r>
      <w:r w:rsidRPr="008D59AC">
        <w:rPr>
          <w:lang w:val="en-GB"/>
        </w:rPr>
        <w:t>. The results indicate that investors focus more on earnings per share for larger financial firms and focus more on book values for smaller financial firms.</w:t>
      </w:r>
      <w:r w:rsidR="00E9096C" w:rsidRPr="008D59AC">
        <w:rPr>
          <w:lang w:val="en-GB"/>
        </w:rPr>
        <w:t xml:space="preserve"> </w:t>
      </w:r>
      <w:r w:rsidR="00F341E8" w:rsidRPr="008D59AC">
        <w:rPr>
          <w:lang w:val="en-GB"/>
        </w:rPr>
        <w:t>Further</w:t>
      </w:r>
      <w:r w:rsidR="00E9096C" w:rsidRPr="008D59AC">
        <w:rPr>
          <w:lang w:val="en-GB"/>
        </w:rPr>
        <w:t>,</w:t>
      </w:r>
      <w:r w:rsidR="00F341E8" w:rsidRPr="008D59AC">
        <w:rPr>
          <w:lang w:val="en-GB"/>
        </w:rPr>
        <w:t xml:space="preserve"> investors in larger financial firms</w:t>
      </w:r>
      <w:r w:rsidR="00E9096C" w:rsidRPr="008D59AC">
        <w:rPr>
          <w:lang w:val="en-GB"/>
        </w:rPr>
        <w:t xml:space="preserve"> value fair values equally, irrespective of the level in the fair value hierarchy, while for smaller </w:t>
      </w:r>
      <w:r w:rsidR="00DC2DB9" w:rsidRPr="008D59AC">
        <w:rPr>
          <w:lang w:val="en-GB"/>
        </w:rPr>
        <w:t>firms</w:t>
      </w:r>
      <w:r w:rsidR="00E9096C" w:rsidRPr="008D59AC">
        <w:rPr>
          <w:lang w:val="en-GB"/>
        </w:rPr>
        <w:t xml:space="preserve"> level 1 and level 2 fair values are more value relevant than level 3 fair value assets.</w:t>
      </w:r>
      <w:r w:rsidR="00F64860" w:rsidRPr="008D59AC">
        <w:rPr>
          <w:lang w:val="en-GB"/>
        </w:rPr>
        <w:t xml:space="preserve"> These results imply that investors trust </w:t>
      </w:r>
      <w:r w:rsidR="00463A73" w:rsidRPr="008D59AC">
        <w:rPr>
          <w:lang w:val="en-GB"/>
        </w:rPr>
        <w:t xml:space="preserve">in </w:t>
      </w:r>
      <w:r w:rsidR="00F64860" w:rsidRPr="008D59AC">
        <w:rPr>
          <w:lang w:val="en-GB"/>
        </w:rPr>
        <w:t xml:space="preserve">fair value estimates (level 3) made by larger financial </w:t>
      </w:r>
      <w:r w:rsidR="00DC2DB9" w:rsidRPr="008D59AC">
        <w:rPr>
          <w:lang w:val="en-GB"/>
        </w:rPr>
        <w:t>firms</w:t>
      </w:r>
      <w:r w:rsidR="00F64860" w:rsidRPr="008D59AC">
        <w:rPr>
          <w:lang w:val="en-GB"/>
        </w:rPr>
        <w:t>, but for smaller financial</w:t>
      </w:r>
      <w:r w:rsidR="00DC2DB9" w:rsidRPr="008D59AC">
        <w:rPr>
          <w:lang w:val="en-GB"/>
        </w:rPr>
        <w:t xml:space="preserve"> firms</w:t>
      </w:r>
      <w:r w:rsidR="00601DC3" w:rsidRPr="008D59AC">
        <w:rPr>
          <w:lang w:val="en-GB"/>
        </w:rPr>
        <w:t>,</w:t>
      </w:r>
      <w:r w:rsidR="00F64860" w:rsidRPr="008D59AC">
        <w:rPr>
          <w:lang w:val="en-GB"/>
        </w:rPr>
        <w:t xml:space="preserve"> investors require a risk premium for the level 3 fair values. This could be explained by the fact that larger financial </w:t>
      </w:r>
      <w:r w:rsidR="008501FF" w:rsidRPr="008D59AC">
        <w:rPr>
          <w:lang w:val="en-GB"/>
        </w:rPr>
        <w:t xml:space="preserve">firms </w:t>
      </w:r>
      <w:r w:rsidR="00F64860" w:rsidRPr="008D59AC">
        <w:rPr>
          <w:lang w:val="en-GB"/>
        </w:rPr>
        <w:t>have stronger corporate governance mechanism</w:t>
      </w:r>
      <w:r w:rsidR="00B32F42" w:rsidRPr="008D59AC">
        <w:rPr>
          <w:lang w:val="en-GB"/>
        </w:rPr>
        <w:t xml:space="preserve"> (e.g. Ettredge et al.</w:t>
      </w:r>
      <w:r w:rsidR="00892CAA" w:rsidRPr="008D59AC">
        <w:rPr>
          <w:lang w:val="en-GB"/>
        </w:rPr>
        <w:t>,</w:t>
      </w:r>
      <w:r w:rsidR="00B32F42" w:rsidRPr="008D59AC">
        <w:rPr>
          <w:lang w:val="en-GB"/>
        </w:rPr>
        <w:t xml:space="preserve"> 2011)</w:t>
      </w:r>
      <w:r w:rsidR="00F64860" w:rsidRPr="008D59AC">
        <w:rPr>
          <w:lang w:val="en-GB"/>
        </w:rPr>
        <w:t xml:space="preserve"> that constrain the management’s opportunistic </w:t>
      </w:r>
      <w:r w:rsidR="008D59AC" w:rsidRPr="008D59AC">
        <w:rPr>
          <w:lang w:val="en-GB"/>
        </w:rPr>
        <w:t>behaviour</w:t>
      </w:r>
      <w:r w:rsidR="00F64860" w:rsidRPr="008D59AC">
        <w:rPr>
          <w:lang w:val="en-GB"/>
        </w:rPr>
        <w:t xml:space="preserve"> and thus investors find the estimates made by these </w:t>
      </w:r>
      <w:r w:rsidR="00DC2DB9" w:rsidRPr="008D59AC">
        <w:rPr>
          <w:lang w:val="en-GB"/>
        </w:rPr>
        <w:t xml:space="preserve">firms </w:t>
      </w:r>
      <w:r w:rsidR="00F64860" w:rsidRPr="008D59AC">
        <w:rPr>
          <w:lang w:val="en-GB"/>
        </w:rPr>
        <w:t>more trustworthy than estimates made by smaller and less monitored financial firms.</w:t>
      </w:r>
      <w:r w:rsidR="00F64860" w:rsidRPr="008D59AC">
        <w:rPr>
          <w:rStyle w:val="FootnoteReference"/>
          <w:lang w:val="en-GB"/>
        </w:rPr>
        <w:footnoteReference w:id="13"/>
      </w:r>
      <w:r w:rsidRPr="008D59AC">
        <w:rPr>
          <w:lang w:val="en-GB"/>
        </w:rPr>
        <w:t xml:space="preserve"> </w:t>
      </w:r>
    </w:p>
    <w:p w:rsidR="00FF3093" w:rsidRPr="008D59AC" w:rsidRDefault="00FF3093" w:rsidP="00FF3093">
      <w:pPr>
        <w:pStyle w:val="HBodyText"/>
        <w:rPr>
          <w:lang w:val="en-GB"/>
        </w:rPr>
      </w:pPr>
      <w:r w:rsidRPr="008D59AC">
        <w:rPr>
          <w:lang w:val="en-GB"/>
        </w:rPr>
        <w:t>As</w:t>
      </w:r>
      <w:r w:rsidRPr="008D59AC">
        <w:rPr>
          <w:i/>
          <w:lang w:val="en-GB"/>
        </w:rPr>
        <w:t xml:space="preserve"> EPS</w:t>
      </w:r>
      <w:r w:rsidRPr="008D59AC">
        <w:rPr>
          <w:lang w:val="en-GB"/>
        </w:rPr>
        <w:t xml:space="preserve"> seems to drive the results of the regression (see </w:t>
      </w:r>
      <w:r w:rsidR="00161680" w:rsidRPr="008D59AC">
        <w:rPr>
          <w:lang w:val="en-GB"/>
        </w:rPr>
        <w:t>T</w:t>
      </w:r>
      <w:r w:rsidR="00AD0412" w:rsidRPr="008D59AC">
        <w:rPr>
          <w:lang w:val="en-GB"/>
        </w:rPr>
        <w:t>able 7</w:t>
      </w:r>
      <w:r w:rsidRPr="008D59AC">
        <w:rPr>
          <w:lang w:val="en-GB"/>
        </w:rPr>
        <w:t xml:space="preserve">) more extensively than book values, it is interesting to study if the results hold for only profit making firms (positive </w:t>
      </w:r>
      <w:r w:rsidRPr="008D59AC">
        <w:rPr>
          <w:i/>
          <w:lang w:val="en-GB"/>
        </w:rPr>
        <w:t>EPS</w:t>
      </w:r>
      <w:r w:rsidRPr="008D59AC">
        <w:rPr>
          <w:lang w:val="en-GB"/>
        </w:rPr>
        <w:t xml:space="preserve">) or if the findings also hold for loss making firms (negative </w:t>
      </w:r>
      <w:r w:rsidRPr="008D59AC">
        <w:rPr>
          <w:i/>
          <w:lang w:val="en-GB"/>
        </w:rPr>
        <w:t>EPS</w:t>
      </w:r>
      <w:r w:rsidRPr="008D59AC">
        <w:rPr>
          <w:lang w:val="en-GB"/>
        </w:rPr>
        <w:t>). Thus, the sample i</w:t>
      </w:r>
      <w:r w:rsidR="0030544F" w:rsidRPr="008D59AC">
        <w:rPr>
          <w:lang w:val="en-GB"/>
        </w:rPr>
        <w:t>s split into a positive</w:t>
      </w:r>
      <w:r w:rsidR="0030544F" w:rsidRPr="008D59AC">
        <w:rPr>
          <w:i/>
          <w:lang w:val="en-GB"/>
        </w:rPr>
        <w:t xml:space="preserve"> EPS</w:t>
      </w:r>
      <w:r w:rsidR="0030544F" w:rsidRPr="008D59AC">
        <w:rPr>
          <w:lang w:val="en-GB"/>
        </w:rPr>
        <w:t xml:space="preserve"> sub</w:t>
      </w:r>
      <w:r w:rsidRPr="008D59AC">
        <w:rPr>
          <w:lang w:val="en-GB"/>
        </w:rPr>
        <w:t>sample</w:t>
      </w:r>
      <w:r w:rsidR="0030544F" w:rsidRPr="008D59AC">
        <w:rPr>
          <w:lang w:val="en-GB"/>
        </w:rPr>
        <w:t xml:space="preserve"> and into a negative </w:t>
      </w:r>
      <w:r w:rsidR="0030544F" w:rsidRPr="008D59AC">
        <w:rPr>
          <w:i/>
          <w:lang w:val="en-GB"/>
        </w:rPr>
        <w:t>EPS</w:t>
      </w:r>
      <w:r w:rsidR="0030544F" w:rsidRPr="008D59AC">
        <w:rPr>
          <w:lang w:val="en-GB"/>
        </w:rPr>
        <w:t xml:space="preserve"> sub</w:t>
      </w:r>
      <w:r w:rsidRPr="008D59AC">
        <w:rPr>
          <w:lang w:val="en-GB"/>
        </w:rPr>
        <w:t>sample. The results indicate that the fair values in the fair value hierarchy are value relevant irrespective of firm performance, when using the pooled sample. In addition, the value relevance of fair values of loss making firms are more extensively driven by book value of equity than by</w:t>
      </w:r>
      <w:r w:rsidRPr="008D59AC">
        <w:rPr>
          <w:i/>
          <w:lang w:val="en-GB"/>
        </w:rPr>
        <w:t xml:space="preserve"> EPS</w:t>
      </w:r>
      <w:r w:rsidRPr="008D59AC">
        <w:rPr>
          <w:lang w:val="en-GB"/>
        </w:rPr>
        <w:t xml:space="preserve"> and vice versa for the profit making firms (not tabulated). Hence, the findings suggest that earnings seem to drive the stock price for profit making firms and book value of equity seems to drive stock p</w:t>
      </w:r>
      <w:r w:rsidR="00D3550F" w:rsidRPr="008D59AC">
        <w:rPr>
          <w:lang w:val="en-GB"/>
        </w:rPr>
        <w:t>rice for loss making firms. That</w:t>
      </w:r>
      <w:r w:rsidRPr="008D59AC">
        <w:rPr>
          <w:lang w:val="en-GB"/>
        </w:rPr>
        <w:t xml:space="preserve"> is, investors may not be interested in historical performance of loss making firms, and instead they focus on assets and liabilities in the balance sheet to predict future performance.</w:t>
      </w:r>
    </w:p>
    <w:p w:rsidR="008501FF" w:rsidRPr="008D59AC" w:rsidRDefault="000A53E2" w:rsidP="00FF3093">
      <w:pPr>
        <w:pStyle w:val="HBodyText"/>
        <w:rPr>
          <w:lang w:val="en-GB"/>
        </w:rPr>
      </w:pPr>
      <w:r w:rsidRPr="008D59AC">
        <w:rPr>
          <w:lang w:val="en-GB"/>
        </w:rPr>
        <w:t>Acco</w:t>
      </w:r>
      <w:r w:rsidR="003129DB" w:rsidRPr="008D59AC">
        <w:rPr>
          <w:lang w:val="en-GB"/>
        </w:rPr>
        <w:t xml:space="preserve">rding to Khurana and Kim (2003) </w:t>
      </w:r>
      <w:r w:rsidRPr="008D59AC">
        <w:rPr>
          <w:lang w:val="en-GB"/>
        </w:rPr>
        <w:t>earnings</w:t>
      </w:r>
      <w:r w:rsidR="003129DB" w:rsidRPr="008D59AC">
        <w:rPr>
          <w:lang w:val="en-GB"/>
        </w:rPr>
        <w:t xml:space="preserve"> should</w:t>
      </w:r>
      <w:r w:rsidRPr="008D59AC">
        <w:rPr>
          <w:lang w:val="en-GB"/>
        </w:rPr>
        <w:t xml:space="preserve"> not be included in the regression when estimating the value relevance of fair values. Hence, as a robustness check, Equation 1 is estimated without the earnings per share variable. The alternative regression results for four different sa</w:t>
      </w:r>
      <w:r w:rsidR="005E2744" w:rsidRPr="008D59AC">
        <w:rPr>
          <w:lang w:val="en-GB"/>
        </w:rPr>
        <w:t xml:space="preserve">mples are presented in Table 8. </w:t>
      </w:r>
      <w:r w:rsidRPr="008D59AC">
        <w:rPr>
          <w:lang w:val="en-GB"/>
        </w:rPr>
        <w:t>The main differ</w:t>
      </w:r>
      <w:r w:rsidR="005E2744" w:rsidRPr="008D59AC">
        <w:rPr>
          <w:lang w:val="en-GB"/>
        </w:rPr>
        <w:t>ence from the results in Tables 6 and 7</w:t>
      </w:r>
      <w:r w:rsidRPr="008D59AC">
        <w:rPr>
          <w:lang w:val="en-GB"/>
        </w:rPr>
        <w:t xml:space="preserve"> is the higher coefficients and the lower adjuster R-squared.</w:t>
      </w:r>
      <w:r w:rsidR="00C525B2" w:rsidRPr="008D59AC">
        <w:rPr>
          <w:lang w:val="en-GB"/>
        </w:rPr>
        <w:t xml:space="preserve"> Further, fair values are value relevant for investors in the weak investor protection cluster when excluding earnings per share from the regression. </w:t>
      </w:r>
      <w:r w:rsidRPr="008D59AC">
        <w:rPr>
          <w:lang w:val="en-GB"/>
        </w:rPr>
        <w:t>However, the relations between the independent variables are similar</w:t>
      </w:r>
      <w:r w:rsidR="00C525B2" w:rsidRPr="008D59AC">
        <w:rPr>
          <w:lang w:val="en-GB"/>
        </w:rPr>
        <w:t xml:space="preserve"> in all subsamples</w:t>
      </w:r>
      <w:r w:rsidRPr="008D59AC">
        <w:rPr>
          <w:lang w:val="en-GB"/>
        </w:rPr>
        <w:t xml:space="preserve">. In the strong investor </w:t>
      </w:r>
      <w:r w:rsidRPr="008D59AC">
        <w:rPr>
          <w:lang w:val="en-GB"/>
        </w:rPr>
        <w:lastRenderedPageBreak/>
        <w:t>protection cluster</w:t>
      </w:r>
      <w:r w:rsidR="00740AB7" w:rsidRPr="008D59AC">
        <w:rPr>
          <w:lang w:val="en-GB"/>
        </w:rPr>
        <w:t>,</w:t>
      </w:r>
      <w:r w:rsidRPr="008D59AC">
        <w:rPr>
          <w:lang w:val="en-GB"/>
        </w:rPr>
        <w:t xml:space="preserve"> </w:t>
      </w:r>
      <w:r w:rsidRPr="008D59AC">
        <w:rPr>
          <w:i/>
          <w:lang w:val="en-GB"/>
        </w:rPr>
        <w:t>FVA2</w:t>
      </w:r>
      <w:r w:rsidR="005E2744" w:rsidRPr="008D59AC">
        <w:rPr>
          <w:lang w:val="en-GB"/>
        </w:rPr>
        <w:t xml:space="preserve"> (0.542</w:t>
      </w:r>
      <w:r w:rsidR="004713DD" w:rsidRPr="008D59AC">
        <w:rPr>
          <w:lang w:val="en-GB"/>
        </w:rPr>
        <w:t>)</w:t>
      </w:r>
      <w:r w:rsidRPr="008D59AC">
        <w:rPr>
          <w:lang w:val="en-GB"/>
        </w:rPr>
        <w:t xml:space="preserve"> is higher than </w:t>
      </w:r>
      <w:r w:rsidRPr="008D59AC">
        <w:rPr>
          <w:i/>
          <w:lang w:val="en-GB"/>
        </w:rPr>
        <w:t>FVA1</w:t>
      </w:r>
      <w:r w:rsidR="005E2744" w:rsidRPr="008D59AC">
        <w:rPr>
          <w:lang w:val="en-GB"/>
        </w:rPr>
        <w:t xml:space="preserve"> (0.437</w:t>
      </w:r>
      <w:r w:rsidR="004713DD" w:rsidRPr="008D59AC">
        <w:rPr>
          <w:lang w:val="en-GB"/>
        </w:rPr>
        <w:t>)</w:t>
      </w:r>
      <w:r w:rsidRPr="008D59AC">
        <w:rPr>
          <w:lang w:val="en-GB"/>
        </w:rPr>
        <w:t xml:space="preserve"> and</w:t>
      </w:r>
      <w:r w:rsidRPr="008D59AC">
        <w:rPr>
          <w:i/>
          <w:lang w:val="en-GB"/>
        </w:rPr>
        <w:t xml:space="preserve"> FVA3</w:t>
      </w:r>
      <w:r w:rsidR="005E2744" w:rsidRPr="008D59AC">
        <w:rPr>
          <w:lang w:val="en-GB"/>
        </w:rPr>
        <w:t xml:space="preserve"> (0.441</w:t>
      </w:r>
      <w:r w:rsidR="004713DD" w:rsidRPr="008D59AC">
        <w:rPr>
          <w:lang w:val="en-GB"/>
        </w:rPr>
        <w:t>)</w:t>
      </w:r>
      <w:r w:rsidRPr="008D59AC">
        <w:rPr>
          <w:lang w:val="en-GB"/>
        </w:rPr>
        <w:t xml:space="preserve">, and </w:t>
      </w:r>
      <w:r w:rsidRPr="008D59AC">
        <w:rPr>
          <w:i/>
          <w:lang w:val="en-GB"/>
        </w:rPr>
        <w:t>FVA1</w:t>
      </w:r>
      <w:r w:rsidRPr="008D59AC">
        <w:rPr>
          <w:lang w:val="en-GB"/>
        </w:rPr>
        <w:t xml:space="preserve"> is not significantly higher than </w:t>
      </w:r>
      <w:r w:rsidRPr="008D59AC">
        <w:rPr>
          <w:i/>
          <w:lang w:val="en-GB"/>
        </w:rPr>
        <w:t>FVA3</w:t>
      </w:r>
      <w:r w:rsidRPr="008D59AC">
        <w:rPr>
          <w:lang w:val="en-GB"/>
        </w:rPr>
        <w:t>. In the medium investor protection cluster</w:t>
      </w:r>
      <w:r w:rsidR="00740AB7" w:rsidRPr="008D59AC">
        <w:rPr>
          <w:lang w:val="en-GB"/>
        </w:rPr>
        <w:t>,</w:t>
      </w:r>
      <w:r w:rsidRPr="008D59AC">
        <w:rPr>
          <w:lang w:val="en-GB"/>
        </w:rPr>
        <w:t xml:space="preserve"> </w:t>
      </w:r>
      <w:r w:rsidRPr="008D59AC">
        <w:rPr>
          <w:i/>
          <w:lang w:val="en-GB"/>
        </w:rPr>
        <w:t>FVA1</w:t>
      </w:r>
      <w:r w:rsidR="005E2744" w:rsidRPr="008D59AC">
        <w:rPr>
          <w:lang w:val="en-GB"/>
        </w:rPr>
        <w:t xml:space="preserve"> (0.714</w:t>
      </w:r>
      <w:r w:rsidR="004713DD" w:rsidRPr="008D59AC">
        <w:rPr>
          <w:lang w:val="en-GB"/>
        </w:rPr>
        <w:t>)</w:t>
      </w:r>
      <w:r w:rsidRPr="008D59AC">
        <w:rPr>
          <w:lang w:val="en-GB"/>
        </w:rPr>
        <w:t xml:space="preserve"> and </w:t>
      </w:r>
      <w:r w:rsidRPr="008D59AC">
        <w:rPr>
          <w:i/>
          <w:lang w:val="en-GB"/>
        </w:rPr>
        <w:t>FVA2</w:t>
      </w:r>
      <w:r w:rsidR="005E2744" w:rsidRPr="008D59AC">
        <w:rPr>
          <w:lang w:val="en-GB"/>
        </w:rPr>
        <w:t xml:space="preserve"> (0.776</w:t>
      </w:r>
      <w:r w:rsidR="004713DD" w:rsidRPr="008D59AC">
        <w:rPr>
          <w:lang w:val="en-GB"/>
        </w:rPr>
        <w:t>)</w:t>
      </w:r>
      <w:r w:rsidRPr="008D59AC">
        <w:rPr>
          <w:lang w:val="en-GB"/>
        </w:rPr>
        <w:t xml:space="preserve"> are significantly higher than FVA3</w:t>
      </w:r>
      <w:r w:rsidR="005E2744" w:rsidRPr="008D59AC">
        <w:rPr>
          <w:lang w:val="en-GB"/>
        </w:rPr>
        <w:t xml:space="preserve"> (0.502</w:t>
      </w:r>
      <w:r w:rsidR="004713DD" w:rsidRPr="008D59AC">
        <w:rPr>
          <w:lang w:val="en-GB"/>
        </w:rPr>
        <w:t>)</w:t>
      </w:r>
      <w:r w:rsidRPr="008D59AC">
        <w:rPr>
          <w:lang w:val="en-GB"/>
        </w:rPr>
        <w:t>. Finally, in the weak investor protection</w:t>
      </w:r>
      <w:r w:rsidR="00740AB7" w:rsidRPr="008D59AC">
        <w:rPr>
          <w:lang w:val="en-GB"/>
        </w:rPr>
        <w:t xml:space="preserve"> cluster,</w:t>
      </w:r>
      <w:r w:rsidRPr="008D59AC">
        <w:rPr>
          <w:lang w:val="en-GB"/>
        </w:rPr>
        <w:t xml:space="preserve"> </w:t>
      </w:r>
      <w:r w:rsidRPr="008D59AC">
        <w:rPr>
          <w:i/>
          <w:lang w:val="en-GB"/>
        </w:rPr>
        <w:t>FVA1</w:t>
      </w:r>
      <w:r w:rsidRPr="008D59AC">
        <w:rPr>
          <w:lang w:val="en-GB"/>
        </w:rPr>
        <w:t xml:space="preserve"> </w:t>
      </w:r>
      <w:r w:rsidR="005E2744" w:rsidRPr="008D59AC">
        <w:rPr>
          <w:lang w:val="en-GB"/>
        </w:rPr>
        <w:t>(0.437</w:t>
      </w:r>
      <w:r w:rsidR="004713DD" w:rsidRPr="008D59AC">
        <w:rPr>
          <w:lang w:val="en-GB"/>
        </w:rPr>
        <w:t xml:space="preserve">) </w:t>
      </w:r>
      <w:r w:rsidRPr="008D59AC">
        <w:rPr>
          <w:lang w:val="en-GB"/>
        </w:rPr>
        <w:t>is higher than the other fair value assets coefficients.</w:t>
      </w:r>
      <w:r w:rsidR="00D516B0" w:rsidRPr="008D59AC">
        <w:rPr>
          <w:lang w:val="en-GB"/>
        </w:rPr>
        <w:t xml:space="preserve"> Even though the alternative regression yields in different coefficients, the findings of unchanged relations between the independent variables indic</w:t>
      </w:r>
      <w:r w:rsidR="005E2744" w:rsidRPr="008D59AC">
        <w:rPr>
          <w:lang w:val="en-GB"/>
        </w:rPr>
        <w:t>ate that the findings in Table 7</w:t>
      </w:r>
      <w:r w:rsidR="00D516B0" w:rsidRPr="008D59AC">
        <w:rPr>
          <w:lang w:val="en-GB"/>
        </w:rPr>
        <w:t xml:space="preserve"> are robust for value relevance models without earnings per share.</w:t>
      </w:r>
    </w:p>
    <w:p w:rsidR="00967264" w:rsidRPr="008D59AC" w:rsidRDefault="005E2744" w:rsidP="00FF3093">
      <w:pPr>
        <w:pStyle w:val="HBodyText"/>
        <w:rPr>
          <w:lang w:val="en-GB"/>
        </w:rPr>
      </w:pPr>
      <w:r w:rsidRPr="008D59AC">
        <w:rPr>
          <w:lang w:val="en-GB"/>
        </w:rPr>
        <w:t>(INSERT TABLE 8</w:t>
      </w:r>
      <w:r w:rsidR="008501FF" w:rsidRPr="008D59AC">
        <w:rPr>
          <w:lang w:val="en-GB"/>
        </w:rPr>
        <w:t xml:space="preserve"> ABOUT HERE)</w:t>
      </w:r>
    </w:p>
    <w:p w:rsidR="005E2744" w:rsidRPr="008D59AC" w:rsidRDefault="00390859" w:rsidP="00FF3093">
      <w:pPr>
        <w:pStyle w:val="HBodyText"/>
        <w:rPr>
          <w:lang w:val="en-GB"/>
        </w:rPr>
      </w:pPr>
      <w:r w:rsidRPr="008D59AC">
        <w:rPr>
          <w:lang w:val="en-GB"/>
        </w:rPr>
        <w:t xml:space="preserve">Due to the discussion of which investor protection variables should be used when clustering countries (e.g. Spamann, 2011; LaPorta, 2006), the analysis is replicated with an alternative cluster analysis. The alternative clustering is done by dropping freedom of press as a variable that approximates investor protection. Hence, the alternative clustering is based on the five measures from the </w:t>
      </w:r>
      <w:r w:rsidR="004A1635" w:rsidRPr="008D59AC">
        <w:rPr>
          <w:lang w:val="en-GB"/>
        </w:rPr>
        <w:t xml:space="preserve">Financial Development Report (World Economic Forum, 2012). The clustering variables are: board independence, enforcement of securities laws, protection of minority shareholders’ interest, enforcement of accounting and auditing standards, and judicial independence. Panel A of Table 9 presents the alternative clusters. The difference from the original clustering is that Austria, Belgium, and Germany have moved to the medium investor protection cluster and Bahrain has moved to the strong investor protection environment. </w:t>
      </w:r>
    </w:p>
    <w:p w:rsidR="00397539" w:rsidRPr="008D59AC" w:rsidRDefault="00397539" w:rsidP="00FF3093">
      <w:pPr>
        <w:pStyle w:val="HBodyText"/>
        <w:rPr>
          <w:lang w:val="en-GB"/>
        </w:rPr>
      </w:pPr>
      <w:r w:rsidRPr="008D59AC">
        <w:rPr>
          <w:lang w:val="en-GB"/>
        </w:rPr>
        <w:t>The results from the analysis using alternative clusters are presented in Panel B of Table 9. The main findings are similar to the findings in Table 7. In the strong investor protection environment all fair values are value relevant. There are almost no differences in the coefficients for the level 1,</w:t>
      </w:r>
      <w:r w:rsidR="003C5E31" w:rsidRPr="008D59AC">
        <w:rPr>
          <w:lang w:val="en-GB"/>
        </w:rPr>
        <w:t xml:space="preserve"> </w:t>
      </w:r>
      <w:r w:rsidRPr="008D59AC">
        <w:rPr>
          <w:lang w:val="en-GB"/>
        </w:rPr>
        <w:t xml:space="preserve">2, and 3 fair value assets. In the medium investor protection the fair values are not as strongly significant as the fair values are in the strong investor protection. Level 3 fair value assets are barely significant. In addition, the coefficients for level 1 and 2 fair value assets are higher than the coefficient for level 3 fair value assets. Finally, in the weak investor protection environment level 1 fair value assets are the only value relevant fair values. </w:t>
      </w:r>
      <w:r w:rsidR="00DD6286" w:rsidRPr="008D59AC">
        <w:rPr>
          <w:lang w:val="en-GB"/>
        </w:rPr>
        <w:t>Neither</w:t>
      </w:r>
      <w:r w:rsidRPr="008D59AC">
        <w:rPr>
          <w:lang w:val="en-GB"/>
        </w:rPr>
        <w:t xml:space="preserve"> the other fair values </w:t>
      </w:r>
      <w:r w:rsidR="00DD6286" w:rsidRPr="008D59AC">
        <w:rPr>
          <w:lang w:val="en-GB"/>
        </w:rPr>
        <w:t>n</w:t>
      </w:r>
      <w:r w:rsidRPr="008D59AC">
        <w:rPr>
          <w:lang w:val="en-GB"/>
        </w:rPr>
        <w:t xml:space="preserve">or </w:t>
      </w:r>
      <w:r w:rsidR="00DD6286" w:rsidRPr="008D59AC">
        <w:rPr>
          <w:lang w:val="en-GB"/>
        </w:rPr>
        <w:t xml:space="preserve">the </w:t>
      </w:r>
      <w:r w:rsidRPr="008D59AC">
        <w:rPr>
          <w:lang w:val="en-GB"/>
        </w:rPr>
        <w:t xml:space="preserve">non-fair values are reflected in the market value of equity. The </w:t>
      </w:r>
      <w:r w:rsidR="00A75589" w:rsidRPr="008D59AC">
        <w:rPr>
          <w:lang w:val="en-GB"/>
        </w:rPr>
        <w:t xml:space="preserve">close to similar </w:t>
      </w:r>
      <w:r w:rsidRPr="008D59AC">
        <w:rPr>
          <w:lang w:val="en-GB"/>
        </w:rPr>
        <w:t xml:space="preserve">findings with the alternative cluster analysis </w:t>
      </w:r>
      <w:r w:rsidR="00A75589" w:rsidRPr="008D59AC">
        <w:rPr>
          <w:lang w:val="en-GB"/>
        </w:rPr>
        <w:t>indicate</w:t>
      </w:r>
      <w:r w:rsidRPr="008D59AC">
        <w:rPr>
          <w:lang w:val="en-GB"/>
        </w:rPr>
        <w:t xml:space="preserve"> that the results in the main analysis are robust to the choice of proxies for investor protection used in the initial stage clustering process. </w:t>
      </w:r>
    </w:p>
    <w:p w:rsidR="005E2744" w:rsidRPr="008D59AC" w:rsidRDefault="005E2744" w:rsidP="00FF3093">
      <w:pPr>
        <w:pStyle w:val="HBodyText"/>
        <w:rPr>
          <w:lang w:val="en-GB"/>
        </w:rPr>
      </w:pPr>
      <w:r w:rsidRPr="008D59AC">
        <w:rPr>
          <w:lang w:val="en-GB"/>
        </w:rPr>
        <w:t>(INSERT TABLE 9 ABOUT HERE)</w:t>
      </w:r>
    </w:p>
    <w:p w:rsidR="00D36337" w:rsidRPr="008D59AC" w:rsidRDefault="002E5267" w:rsidP="00D36337">
      <w:pPr>
        <w:pStyle w:val="HHead1"/>
        <w:rPr>
          <w:lang w:val="en-GB"/>
        </w:rPr>
      </w:pPr>
      <w:bookmarkStart w:id="3" w:name="_Toc341769838"/>
      <w:r w:rsidRPr="008D59AC">
        <w:rPr>
          <w:lang w:val="en-GB"/>
        </w:rPr>
        <w:lastRenderedPageBreak/>
        <w:t>Conc</w:t>
      </w:r>
      <w:r w:rsidR="00281E1B" w:rsidRPr="008D59AC">
        <w:rPr>
          <w:lang w:val="en-GB"/>
        </w:rPr>
        <w:t>lusion</w:t>
      </w:r>
      <w:r w:rsidR="00723D51" w:rsidRPr="008D59AC">
        <w:rPr>
          <w:lang w:val="en-GB"/>
        </w:rPr>
        <w:t>s</w:t>
      </w:r>
      <w:bookmarkEnd w:id="3"/>
    </w:p>
    <w:p w:rsidR="00AF2A6F" w:rsidRPr="008D59AC" w:rsidRDefault="000A3585" w:rsidP="00AF2A6F">
      <w:pPr>
        <w:pStyle w:val="HBodyText"/>
        <w:rPr>
          <w:lang w:val="en-GB"/>
        </w:rPr>
      </w:pPr>
      <w:bookmarkStart w:id="4" w:name="_Toc341769839"/>
      <w:r w:rsidRPr="008D59AC">
        <w:rPr>
          <w:lang w:val="en-GB"/>
        </w:rPr>
        <w:t xml:space="preserve">This paper investigates </w:t>
      </w:r>
      <w:r w:rsidR="00AF2A6F" w:rsidRPr="008D59AC">
        <w:rPr>
          <w:lang w:val="en-GB"/>
        </w:rPr>
        <w:t>whether the value relevance of fair values varies across investor protection environments. First, by utilizing a modified Ohlson (1995) valuation model on the pooled sample</w:t>
      </w:r>
      <w:r w:rsidRPr="008D59AC">
        <w:rPr>
          <w:lang w:val="en-GB"/>
        </w:rPr>
        <w:t xml:space="preserve"> (financial companies from 34 countries)</w:t>
      </w:r>
      <w:r w:rsidR="00AF2A6F" w:rsidRPr="008D59AC">
        <w:rPr>
          <w:lang w:val="en-GB"/>
        </w:rPr>
        <w:t xml:space="preserve"> the results show that all fair values in the fair value hierarchy are value relevant for investors. Further, fair value assets are more value relevant than non-fair value assets. Investors are willing to pay more for fair value assets than they are willing to pay for historical values (non-fair val</w:t>
      </w:r>
      <w:r w:rsidRPr="008D59AC">
        <w:rPr>
          <w:lang w:val="en-GB"/>
        </w:rPr>
        <w:t>ues). One possible explanation for</w:t>
      </w:r>
      <w:r w:rsidR="00AF2A6F" w:rsidRPr="008D59AC">
        <w:rPr>
          <w:lang w:val="en-GB"/>
        </w:rPr>
        <w:t xml:space="preserve"> the findings is that investors assume managers </w:t>
      </w:r>
      <w:r w:rsidRPr="008D59AC">
        <w:rPr>
          <w:lang w:val="en-GB"/>
        </w:rPr>
        <w:t>to be</w:t>
      </w:r>
      <w:r w:rsidR="00AF2A6F" w:rsidRPr="008D59AC">
        <w:rPr>
          <w:lang w:val="en-GB"/>
        </w:rPr>
        <w:t xml:space="preserve"> conservative when estimating fair values and thus investors, in a speculative manner, are willing to pay a higher price for fair value assets. Additionally, the valuation coefficients do only vary slightly, indicating that investors value fair values equally irrespective of the level. </w:t>
      </w:r>
    </w:p>
    <w:p w:rsidR="00AF2A6F" w:rsidRPr="008D59AC" w:rsidRDefault="000A3585" w:rsidP="00AF2A6F">
      <w:pPr>
        <w:pStyle w:val="HBodyText"/>
        <w:rPr>
          <w:lang w:val="en-GB"/>
        </w:rPr>
      </w:pPr>
      <w:r w:rsidRPr="008D59AC">
        <w:rPr>
          <w:lang w:val="en-GB"/>
        </w:rPr>
        <w:t>Second</w:t>
      </w:r>
      <w:r w:rsidR="00AF2A6F" w:rsidRPr="008D59AC">
        <w:rPr>
          <w:lang w:val="en-GB"/>
        </w:rPr>
        <w:t>, the results indicate that the value relevance of fair values is positively associated with investor protection. Firms from countries with a strong investor protection environment disclose fair value estimates of highest value relevance. The main difference between the strong and medium clusters is that in the strong investor protection clusters</w:t>
      </w:r>
      <w:r w:rsidRPr="008D59AC">
        <w:rPr>
          <w:lang w:val="en-GB"/>
        </w:rPr>
        <w:t>,</w:t>
      </w:r>
      <w:r w:rsidR="00AF2A6F" w:rsidRPr="008D59AC">
        <w:rPr>
          <w:lang w:val="en-GB"/>
        </w:rPr>
        <w:t xml:space="preserve"> investors value all fair values</w:t>
      </w:r>
      <w:r w:rsidR="00AB0EE9" w:rsidRPr="008D59AC">
        <w:rPr>
          <w:lang w:val="en-GB"/>
        </w:rPr>
        <w:t xml:space="preserve"> quite</w:t>
      </w:r>
      <w:r w:rsidR="00AF2A6F" w:rsidRPr="008D59AC">
        <w:rPr>
          <w:lang w:val="en-GB"/>
        </w:rPr>
        <w:t xml:space="preserve"> equally, while investors in firms from the medium investor protection cluster </w:t>
      </w:r>
      <w:r w:rsidRPr="008D59AC">
        <w:rPr>
          <w:lang w:val="en-GB"/>
        </w:rPr>
        <w:t>value</w:t>
      </w:r>
      <w:r w:rsidR="00AF2A6F" w:rsidRPr="008D59AC">
        <w:rPr>
          <w:lang w:val="en-GB"/>
        </w:rPr>
        <w:t xml:space="preserve"> level 1 and 2 assets higher than level 3 assets. It seems that the stronger the investor protection environment</w:t>
      </w:r>
      <w:r w:rsidRPr="008D59AC">
        <w:rPr>
          <w:lang w:val="en-GB"/>
        </w:rPr>
        <w:t>,</w:t>
      </w:r>
      <w:r w:rsidR="00AF2A6F" w:rsidRPr="008D59AC">
        <w:rPr>
          <w:lang w:val="en-GB"/>
        </w:rPr>
        <w:t xml:space="preserve"> the more trustworthy </w:t>
      </w:r>
      <w:r w:rsidR="00A07E5E" w:rsidRPr="008D59AC">
        <w:rPr>
          <w:lang w:val="en-GB"/>
        </w:rPr>
        <w:t xml:space="preserve">are </w:t>
      </w:r>
      <w:r w:rsidR="00AF2A6F" w:rsidRPr="008D59AC">
        <w:rPr>
          <w:lang w:val="en-GB"/>
        </w:rPr>
        <w:t>the fair value estimates to investors. Especially in the strong investor protection environment</w:t>
      </w:r>
      <w:r w:rsidRPr="008D59AC">
        <w:rPr>
          <w:lang w:val="en-GB"/>
        </w:rPr>
        <w:t>,</w:t>
      </w:r>
      <w:r w:rsidR="003C5E31" w:rsidRPr="008D59AC">
        <w:rPr>
          <w:lang w:val="en-GB"/>
        </w:rPr>
        <w:t xml:space="preserve"> investors find market prices (l</w:t>
      </w:r>
      <w:r w:rsidR="00AF2A6F" w:rsidRPr="008D59AC">
        <w:rPr>
          <w:lang w:val="en-GB"/>
        </w:rPr>
        <w:t>evel 1)</w:t>
      </w:r>
      <w:r w:rsidR="00AB0EE9" w:rsidRPr="008D59AC">
        <w:rPr>
          <w:lang w:val="en-GB"/>
        </w:rPr>
        <w:t xml:space="preserve"> almost</w:t>
      </w:r>
      <w:r w:rsidR="00AF2A6F" w:rsidRPr="008D59AC">
        <w:rPr>
          <w:lang w:val="en-GB"/>
        </w:rPr>
        <w:t xml:space="preserve"> equally relevant as in-house fair value estimat</w:t>
      </w:r>
      <w:r w:rsidR="003C5E31" w:rsidRPr="008D59AC">
        <w:rPr>
          <w:lang w:val="en-GB"/>
        </w:rPr>
        <w:t>es (l</w:t>
      </w:r>
      <w:r w:rsidR="00AF2A6F" w:rsidRPr="008D59AC">
        <w:rPr>
          <w:lang w:val="en-GB"/>
        </w:rPr>
        <w:t xml:space="preserve">evel 3). Hence, the usefulness of </w:t>
      </w:r>
      <w:r w:rsidR="00C33EA8" w:rsidRPr="008D59AC">
        <w:rPr>
          <w:lang w:val="en-GB"/>
        </w:rPr>
        <w:t xml:space="preserve">disclosing </w:t>
      </w:r>
      <w:r w:rsidR="00AF2A6F" w:rsidRPr="008D59AC">
        <w:rPr>
          <w:lang w:val="en-GB"/>
        </w:rPr>
        <w:t>disaggregated fair values</w:t>
      </w:r>
      <w:r w:rsidR="00C33EA8" w:rsidRPr="008D59AC">
        <w:rPr>
          <w:lang w:val="en-GB"/>
        </w:rPr>
        <w:t xml:space="preserve"> (i.e. fair value hierarchy)</w:t>
      </w:r>
      <w:r w:rsidR="00AF2A6F" w:rsidRPr="008D59AC">
        <w:rPr>
          <w:lang w:val="en-GB"/>
        </w:rPr>
        <w:t xml:space="preserve"> in countries from strong investor protection environments can be discussed.</w:t>
      </w:r>
    </w:p>
    <w:p w:rsidR="00AF2A6F" w:rsidRPr="008D59AC" w:rsidRDefault="00AF2A6F" w:rsidP="00AF2A6F">
      <w:pPr>
        <w:pStyle w:val="HBodyText"/>
        <w:rPr>
          <w:lang w:val="en-GB"/>
        </w:rPr>
      </w:pPr>
      <w:r w:rsidRPr="008D59AC">
        <w:rPr>
          <w:lang w:val="en-GB"/>
        </w:rPr>
        <w:t xml:space="preserve">Further, financial firms from countries with a weak investor protection have very low value relevance of accounting numbers. </w:t>
      </w:r>
      <w:r w:rsidR="00AB0EE9" w:rsidRPr="008D59AC">
        <w:rPr>
          <w:lang w:val="en-GB"/>
        </w:rPr>
        <w:t>Level 1 fair value assets are the only significant book values that are reflected in the market value of equity.</w:t>
      </w:r>
      <w:r w:rsidRPr="008D59AC">
        <w:rPr>
          <w:lang w:val="en-GB"/>
        </w:rPr>
        <w:t xml:space="preserve"> That is, </w:t>
      </w:r>
      <w:r w:rsidR="00AB0EE9" w:rsidRPr="008D59AC">
        <w:rPr>
          <w:lang w:val="en-GB"/>
        </w:rPr>
        <w:t>only</w:t>
      </w:r>
      <w:r w:rsidRPr="008D59AC">
        <w:rPr>
          <w:lang w:val="en-GB"/>
        </w:rPr>
        <w:t xml:space="preserve"> observable market val</w:t>
      </w:r>
      <w:r w:rsidR="00537B41" w:rsidRPr="008D59AC">
        <w:rPr>
          <w:lang w:val="en-GB"/>
        </w:rPr>
        <w:t>ues (l</w:t>
      </w:r>
      <w:r w:rsidR="008A12DD" w:rsidRPr="008D59AC">
        <w:rPr>
          <w:lang w:val="en-GB"/>
        </w:rPr>
        <w:t>evel 1) are reflected in</w:t>
      </w:r>
      <w:r w:rsidRPr="008D59AC">
        <w:rPr>
          <w:lang w:val="en-GB"/>
        </w:rPr>
        <w:t xml:space="preserve"> market values.</w:t>
      </w:r>
      <w:r w:rsidR="002C286E" w:rsidRPr="008D59AC">
        <w:rPr>
          <w:lang w:val="en-GB"/>
        </w:rPr>
        <w:t xml:space="preserve"> For level 2 and 3 fair value assets, where management discretion plays a role, investors do not trust the fair value estimates made by the firms. </w:t>
      </w:r>
      <w:r w:rsidRPr="008D59AC">
        <w:rPr>
          <w:lang w:val="en-GB"/>
        </w:rPr>
        <w:t xml:space="preserve">In addition, investors are </w:t>
      </w:r>
      <w:r w:rsidR="008D59AC" w:rsidRPr="008D59AC">
        <w:rPr>
          <w:lang w:val="en-GB"/>
        </w:rPr>
        <w:t>sceptical</w:t>
      </w:r>
      <w:r w:rsidRPr="008D59AC">
        <w:rPr>
          <w:lang w:val="en-GB"/>
        </w:rPr>
        <w:t xml:space="preserve"> towards </w:t>
      </w:r>
      <w:r w:rsidR="00AB0EE9" w:rsidRPr="008D59AC">
        <w:rPr>
          <w:lang w:val="en-GB"/>
        </w:rPr>
        <w:t>most</w:t>
      </w:r>
      <w:r w:rsidRPr="008D59AC">
        <w:rPr>
          <w:lang w:val="en-GB"/>
        </w:rPr>
        <w:t xml:space="preserve"> of</w:t>
      </w:r>
      <w:r w:rsidR="00AB0EE9" w:rsidRPr="008D59AC">
        <w:rPr>
          <w:lang w:val="en-GB"/>
        </w:rPr>
        <w:t xml:space="preserve"> the</w:t>
      </w:r>
      <w:r w:rsidRPr="008D59AC">
        <w:rPr>
          <w:lang w:val="en-GB"/>
        </w:rPr>
        <w:t xml:space="preserve"> book values, not only fair values. Hence, investors seem to </w:t>
      </w:r>
      <w:r w:rsidR="00AB0EE9" w:rsidRPr="008D59AC">
        <w:rPr>
          <w:lang w:val="en-GB"/>
        </w:rPr>
        <w:t>focus on</w:t>
      </w:r>
      <w:r w:rsidR="008D59AC">
        <w:rPr>
          <w:lang w:val="en-GB"/>
        </w:rPr>
        <w:t xml:space="preserve"> earnings when analys</w:t>
      </w:r>
      <w:r w:rsidRPr="008D59AC">
        <w:rPr>
          <w:lang w:val="en-GB"/>
        </w:rPr>
        <w:t xml:space="preserve">ing </w:t>
      </w:r>
      <w:r w:rsidR="00DC2DB9" w:rsidRPr="008D59AC">
        <w:rPr>
          <w:lang w:val="en-GB"/>
        </w:rPr>
        <w:t>firms</w:t>
      </w:r>
      <w:r w:rsidRPr="008D59AC">
        <w:rPr>
          <w:lang w:val="en-GB"/>
        </w:rPr>
        <w:t>’ financial statements. The lack o</w:t>
      </w:r>
      <w:r w:rsidR="00AB0EE9" w:rsidRPr="008D59AC">
        <w:rPr>
          <w:lang w:val="en-GB"/>
        </w:rPr>
        <w:t>f value relevance of fair value estimates</w:t>
      </w:r>
      <w:r w:rsidRPr="008D59AC">
        <w:rPr>
          <w:lang w:val="en-GB"/>
        </w:rPr>
        <w:t xml:space="preserve"> is a problem in countries from weak investor protection environments. Why</w:t>
      </w:r>
      <w:r w:rsidR="00AB0EE9" w:rsidRPr="008D59AC">
        <w:rPr>
          <w:lang w:val="en-GB"/>
        </w:rPr>
        <w:t xml:space="preserve"> sho</w:t>
      </w:r>
      <w:r w:rsidR="00380F16" w:rsidRPr="008D59AC">
        <w:rPr>
          <w:lang w:val="en-GB"/>
        </w:rPr>
        <w:t xml:space="preserve">uld investors </w:t>
      </w:r>
      <w:r w:rsidRPr="008D59AC">
        <w:rPr>
          <w:lang w:val="en-GB"/>
        </w:rPr>
        <w:t>requi</w:t>
      </w:r>
      <w:r w:rsidR="00AB0EE9" w:rsidRPr="008D59AC">
        <w:rPr>
          <w:lang w:val="en-GB"/>
        </w:rPr>
        <w:t>re firms to disclose fair value estimates (level 2 and 3)</w:t>
      </w:r>
      <w:r w:rsidRPr="008D59AC">
        <w:rPr>
          <w:lang w:val="en-GB"/>
        </w:rPr>
        <w:t xml:space="preserve"> instead of historical values when </w:t>
      </w:r>
      <w:r w:rsidR="00380F16" w:rsidRPr="008D59AC">
        <w:rPr>
          <w:lang w:val="en-GB"/>
        </w:rPr>
        <w:t>they</w:t>
      </w:r>
      <w:r w:rsidRPr="008D59AC">
        <w:rPr>
          <w:lang w:val="en-GB"/>
        </w:rPr>
        <w:t xml:space="preserve"> believe that there is </w:t>
      </w:r>
      <w:r w:rsidR="00380F16" w:rsidRPr="008D59AC">
        <w:rPr>
          <w:lang w:val="en-GB"/>
        </w:rPr>
        <w:t>no</w:t>
      </w:r>
      <w:r w:rsidRPr="008D59AC">
        <w:rPr>
          <w:lang w:val="en-GB"/>
        </w:rPr>
        <w:t xml:space="preserve"> substance </w:t>
      </w:r>
      <w:r w:rsidR="00380F16" w:rsidRPr="008D59AC">
        <w:rPr>
          <w:lang w:val="en-GB"/>
        </w:rPr>
        <w:t xml:space="preserve">in </w:t>
      </w:r>
      <w:r w:rsidR="00AB0EE9" w:rsidRPr="008D59AC">
        <w:rPr>
          <w:lang w:val="en-GB"/>
        </w:rPr>
        <w:t>fair value estimates</w:t>
      </w:r>
      <w:r w:rsidRPr="008D59AC">
        <w:rPr>
          <w:lang w:val="en-GB"/>
        </w:rPr>
        <w:t xml:space="preserve">? </w:t>
      </w:r>
      <w:r w:rsidR="009A34BC" w:rsidRPr="008D59AC">
        <w:rPr>
          <w:lang w:val="en-GB"/>
        </w:rPr>
        <w:t xml:space="preserve">Beisland (2014) argue that if fair values cannot be easily obtained, fair value accounting does not necessarily ease the valuation process for investors. </w:t>
      </w:r>
      <w:r w:rsidRPr="008D59AC">
        <w:rPr>
          <w:lang w:val="en-GB"/>
        </w:rPr>
        <w:t xml:space="preserve">Thus, it can be </w:t>
      </w:r>
      <w:r w:rsidR="00F91707" w:rsidRPr="008D59AC">
        <w:rPr>
          <w:lang w:val="en-GB"/>
        </w:rPr>
        <w:t>argued whether</w:t>
      </w:r>
      <w:r w:rsidRPr="008D59AC">
        <w:rPr>
          <w:lang w:val="en-GB"/>
        </w:rPr>
        <w:t xml:space="preserve"> financial firms </w:t>
      </w:r>
      <w:r w:rsidR="00F91707" w:rsidRPr="008D59AC">
        <w:rPr>
          <w:lang w:val="en-GB"/>
        </w:rPr>
        <w:t>in</w:t>
      </w:r>
      <w:r w:rsidRPr="008D59AC">
        <w:rPr>
          <w:lang w:val="en-GB"/>
        </w:rPr>
        <w:t xml:space="preserve"> countries with a weak investor protection environment should be entitled </w:t>
      </w:r>
      <w:r w:rsidRPr="008D59AC">
        <w:rPr>
          <w:lang w:val="en-GB"/>
        </w:rPr>
        <w:lastRenderedPageBreak/>
        <w:t>to disclose historic</w:t>
      </w:r>
      <w:r w:rsidR="00AB0EE9" w:rsidRPr="008D59AC">
        <w:rPr>
          <w:lang w:val="en-GB"/>
        </w:rPr>
        <w:t>al values instead of fair value estimates</w:t>
      </w:r>
      <w:r w:rsidRPr="008D59AC">
        <w:rPr>
          <w:lang w:val="en-GB"/>
        </w:rPr>
        <w:t xml:space="preserve"> at least for finan</w:t>
      </w:r>
      <w:r w:rsidR="00F91707" w:rsidRPr="008D59AC">
        <w:rPr>
          <w:lang w:val="en-GB"/>
        </w:rPr>
        <w:t xml:space="preserve">cial assets and liabilities. As </w:t>
      </w:r>
      <w:r w:rsidRPr="008D59AC">
        <w:rPr>
          <w:lang w:val="en-GB"/>
        </w:rPr>
        <w:t>in terms of investor protection, IFRS adopters are fairly heterogeneous and the value relevance of fair values varies across i</w:t>
      </w:r>
      <w:r w:rsidR="00F91707" w:rsidRPr="008D59AC">
        <w:rPr>
          <w:lang w:val="en-GB"/>
        </w:rPr>
        <w:t xml:space="preserve">nvestor protection environments. Hence, the fair value requirements could be different in different investor protection environments. </w:t>
      </w:r>
      <w:r w:rsidRPr="008D59AC">
        <w:rPr>
          <w:lang w:val="en-GB"/>
        </w:rPr>
        <w:t xml:space="preserve">Further research could address the issue of how to set international accounting standards regarding fair value accounting of financial assets and liabilities that </w:t>
      </w:r>
      <w:r w:rsidR="00F91707" w:rsidRPr="008D59AC">
        <w:rPr>
          <w:lang w:val="en-GB"/>
        </w:rPr>
        <w:t>would suit</w:t>
      </w:r>
      <w:r w:rsidRPr="008D59AC">
        <w:rPr>
          <w:lang w:val="en-GB"/>
        </w:rPr>
        <w:t xml:space="preserve"> all jurisdictions </w:t>
      </w:r>
      <w:r w:rsidR="00F91707" w:rsidRPr="008D59AC">
        <w:rPr>
          <w:lang w:val="en-GB"/>
        </w:rPr>
        <w:t>having</w:t>
      </w:r>
      <w:r w:rsidRPr="008D59AC">
        <w:rPr>
          <w:lang w:val="en-GB"/>
        </w:rPr>
        <w:t xml:space="preserve"> adopted IFRS</w:t>
      </w:r>
      <w:r w:rsidR="008511A8" w:rsidRPr="008D59AC">
        <w:rPr>
          <w:lang w:val="en-GB"/>
        </w:rPr>
        <w:t>.</w:t>
      </w:r>
    </w:p>
    <w:p w:rsidR="00AF2A6F" w:rsidRPr="008D59AC" w:rsidRDefault="00AF2A6F" w:rsidP="00AF2A6F">
      <w:pPr>
        <w:pStyle w:val="HBodyText"/>
        <w:rPr>
          <w:lang w:val="en-GB"/>
        </w:rPr>
      </w:pPr>
      <w:r w:rsidRPr="008D59AC">
        <w:rPr>
          <w:lang w:val="en-GB"/>
        </w:rPr>
        <w:t>This study contributes to fair value accounting as well as investor protection literature as it, to my knowledge, is the first study to investigate how the value relevance of fair values varies across investor protection environments. This study extends the studies made by Song et al. (2010) and Goh et al. (2015) into an int</w:t>
      </w:r>
      <w:r w:rsidR="00866249" w:rsidRPr="008D59AC">
        <w:rPr>
          <w:lang w:val="en-GB"/>
        </w:rPr>
        <w:t>ernational setting.  Hence</w:t>
      </w:r>
      <w:r w:rsidRPr="008D59AC">
        <w:rPr>
          <w:lang w:val="en-GB"/>
        </w:rPr>
        <w:t>, by implementing an international approach,</w:t>
      </w:r>
      <w:r w:rsidR="00866249" w:rsidRPr="008D59AC">
        <w:rPr>
          <w:lang w:val="en-GB"/>
        </w:rPr>
        <w:t xml:space="preserve"> this study</w:t>
      </w:r>
      <w:r w:rsidRPr="008D59AC">
        <w:rPr>
          <w:lang w:val="en-GB"/>
        </w:rPr>
        <w:t xml:space="preserve"> contributes to the literature by presenting global evidence of the value relevance of fair values under I</w:t>
      </w:r>
      <w:r w:rsidR="0031762D" w:rsidRPr="008D59AC">
        <w:rPr>
          <w:lang w:val="en-GB"/>
        </w:rPr>
        <w:t>FRS 13. Furthermore, this study contributes to the literature on investor protection as it</w:t>
      </w:r>
      <w:r w:rsidRPr="008D59AC">
        <w:rPr>
          <w:lang w:val="en-GB"/>
        </w:rPr>
        <w:t xml:space="preserve"> shed</w:t>
      </w:r>
      <w:r w:rsidR="0031762D" w:rsidRPr="008D59AC">
        <w:rPr>
          <w:lang w:val="en-GB"/>
        </w:rPr>
        <w:t>s</w:t>
      </w:r>
      <w:r w:rsidRPr="008D59AC">
        <w:rPr>
          <w:lang w:val="en-GB"/>
        </w:rPr>
        <w:t xml:space="preserve"> light on how the relevance of fair value accounting varies a</w:t>
      </w:r>
      <w:r w:rsidR="008A193D" w:rsidRPr="008D59AC">
        <w:rPr>
          <w:lang w:val="en-GB"/>
        </w:rPr>
        <w:t>cross</w:t>
      </w:r>
      <w:r w:rsidR="00062D23" w:rsidRPr="008D59AC">
        <w:rPr>
          <w:lang w:val="en-GB"/>
        </w:rPr>
        <w:t xml:space="preserve"> jurisdictions. In line with DeFond et al. (2007), Cahan et al. (2009), and Leuz et al. (2003), th</w:t>
      </w:r>
      <w:r w:rsidR="00264A6F" w:rsidRPr="008D59AC">
        <w:rPr>
          <w:lang w:val="en-GB"/>
        </w:rPr>
        <w:t xml:space="preserve">e results of this study imply </w:t>
      </w:r>
      <w:r w:rsidR="00062D23" w:rsidRPr="008D59AC">
        <w:rPr>
          <w:lang w:val="en-GB"/>
        </w:rPr>
        <w:t xml:space="preserve">that </w:t>
      </w:r>
      <w:r w:rsidR="007954F4" w:rsidRPr="008D59AC">
        <w:rPr>
          <w:lang w:val="en-GB"/>
        </w:rPr>
        <w:t>information quality increases with the level of investor protection.</w:t>
      </w:r>
      <w:r w:rsidRPr="008D59AC">
        <w:rPr>
          <w:lang w:val="en-GB"/>
        </w:rPr>
        <w:t xml:space="preserve"> </w:t>
      </w:r>
      <w:r w:rsidR="00062D23" w:rsidRPr="008D59AC">
        <w:rPr>
          <w:lang w:val="en-GB"/>
        </w:rPr>
        <w:t>Finally, the results indicate</w:t>
      </w:r>
      <w:r w:rsidRPr="008D59AC">
        <w:rPr>
          <w:lang w:val="en-GB"/>
        </w:rPr>
        <w:t xml:space="preserve"> that fair value accounting is positive for investo</w:t>
      </w:r>
      <w:r w:rsidR="000C2016" w:rsidRPr="008D59AC">
        <w:rPr>
          <w:lang w:val="en-GB"/>
        </w:rPr>
        <w:t>rs in some jurisdictions and may be misused and thereby hurt</w:t>
      </w:r>
      <w:r w:rsidRPr="008D59AC">
        <w:rPr>
          <w:lang w:val="en-GB"/>
        </w:rPr>
        <w:t xml:space="preserve"> investors in some jurisdictions. Thus, standard setters have to keep the results of this paper in mind when developing future standards.</w:t>
      </w:r>
    </w:p>
    <w:p w:rsidR="00153581" w:rsidRDefault="00AF2A6F" w:rsidP="00AF2A6F">
      <w:pPr>
        <w:pStyle w:val="HBodyText"/>
        <w:rPr>
          <w:lang w:val="en-GB"/>
        </w:rPr>
      </w:pPr>
      <w:r w:rsidRPr="008D59AC">
        <w:rPr>
          <w:lang w:val="en-GB"/>
        </w:rPr>
        <w:t>This paper is not free from limitations. First, as the sample only consists of financial firms, the results cannot be generalized to other industries. Second, due to the few ye</w:t>
      </w:r>
      <w:r w:rsidR="00390859" w:rsidRPr="008D59AC">
        <w:rPr>
          <w:lang w:val="en-GB"/>
        </w:rPr>
        <w:t>ars included in the study (2012-2014</w:t>
      </w:r>
      <w:r w:rsidRPr="008D59AC">
        <w:rPr>
          <w:lang w:val="en-GB"/>
        </w:rPr>
        <w:t>), it can be argued that the results may not hold over time.</w:t>
      </w:r>
      <w:r w:rsidR="000C2016" w:rsidRPr="008D59AC">
        <w:rPr>
          <w:lang w:val="en-GB"/>
        </w:rPr>
        <w:t xml:space="preserve"> Third, an optimal research design would have been to study every single country separately, as all investor protection variables are county-specific. However, due to the limited number of observations per country, this study applies a cluster analysis to group identical countries. </w:t>
      </w:r>
      <w:r w:rsidRPr="008D59AC">
        <w:rPr>
          <w:lang w:val="en-GB"/>
        </w:rPr>
        <w:t xml:space="preserve"> </w:t>
      </w:r>
      <w:r w:rsidR="009D58BC" w:rsidRPr="008D59AC">
        <w:rPr>
          <w:lang w:val="en-GB"/>
        </w:rPr>
        <w:t>Even though the presented limitations</w:t>
      </w:r>
      <w:r w:rsidRPr="008D59AC">
        <w:rPr>
          <w:lang w:val="en-GB"/>
        </w:rPr>
        <w:t xml:space="preserve">, the use of an international sample and the use of the whole spectra of investor protection environments </w:t>
      </w:r>
      <w:r w:rsidR="00CA132E" w:rsidRPr="008D59AC">
        <w:rPr>
          <w:lang w:val="en-GB"/>
        </w:rPr>
        <w:t>would indicate</w:t>
      </w:r>
      <w:r w:rsidRPr="008D59AC">
        <w:rPr>
          <w:lang w:val="en-GB"/>
        </w:rPr>
        <w:t xml:space="preserve"> that the findings of this study can be generalized to all financial firms following IFRS.</w:t>
      </w:r>
    </w:p>
    <w:p w:rsidR="00153581" w:rsidRDefault="00153581">
      <w:pPr>
        <w:spacing w:before="0" w:after="0" w:line="240" w:lineRule="auto"/>
        <w:rPr>
          <w:lang w:val="en-GB"/>
        </w:rPr>
      </w:pPr>
      <w:r>
        <w:rPr>
          <w:lang w:val="en-GB"/>
        </w:rPr>
        <w:br w:type="page"/>
      </w:r>
    </w:p>
    <w:p w:rsidR="004C3930" w:rsidRPr="008D59AC" w:rsidRDefault="005037D4" w:rsidP="004C3930">
      <w:pPr>
        <w:pStyle w:val="HHead1"/>
        <w:numPr>
          <w:ilvl w:val="0"/>
          <w:numId w:val="0"/>
        </w:numPr>
        <w:ind w:left="567" w:hanging="567"/>
        <w:rPr>
          <w:lang w:val="en-GB"/>
        </w:rPr>
      </w:pPr>
      <w:r w:rsidRPr="008D59AC">
        <w:rPr>
          <w:lang w:val="en-GB"/>
        </w:rPr>
        <w:lastRenderedPageBreak/>
        <w:t>References</w:t>
      </w:r>
      <w:bookmarkEnd w:id="4"/>
    </w:p>
    <w:p w:rsidR="004F3FD4" w:rsidRPr="008D59AC" w:rsidRDefault="004F3FD4" w:rsidP="004F3FD4">
      <w:pPr>
        <w:pStyle w:val="HRefBody"/>
        <w:rPr>
          <w:lang w:val="en-GB"/>
        </w:rPr>
      </w:pPr>
      <w:r w:rsidRPr="008D59AC">
        <w:rPr>
          <w:lang w:val="en-GB"/>
        </w:rPr>
        <w:t xml:space="preserve">Abody, D., Barth, M., &amp; Kaznik, R. (2006). Do firms understate stock option-based compensations expenses disclosed under FAS 123? </w:t>
      </w:r>
      <w:r w:rsidRPr="008D59AC">
        <w:rPr>
          <w:i/>
          <w:lang w:val="en-GB"/>
        </w:rPr>
        <w:t xml:space="preserve">Review of Accounting Studies, </w:t>
      </w:r>
      <w:r w:rsidRPr="008D59AC">
        <w:rPr>
          <w:lang w:val="en-GB"/>
        </w:rPr>
        <w:t>11 (4), 429–461.</w:t>
      </w:r>
    </w:p>
    <w:p w:rsidR="000408CE" w:rsidRPr="008D59AC" w:rsidRDefault="000408CE" w:rsidP="0039262C">
      <w:pPr>
        <w:pStyle w:val="HRefBody"/>
        <w:rPr>
          <w:lang w:val="en-GB"/>
        </w:rPr>
      </w:pPr>
      <w:r w:rsidRPr="008D59AC">
        <w:rPr>
          <w:lang w:val="en-GB"/>
        </w:rPr>
        <w:t>Aharony, J., Barniv, R.</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Falk, H. (2010). The Impact of Mandatory IFRS Adoption on Equity Valuation of Accounting Numbers for Security Investors in the EU. </w:t>
      </w:r>
      <w:r w:rsidRPr="008D59AC">
        <w:rPr>
          <w:i/>
          <w:lang w:val="en-GB"/>
        </w:rPr>
        <w:t>European Accounting Review</w:t>
      </w:r>
      <w:r w:rsidRPr="008D59AC">
        <w:rPr>
          <w:lang w:val="en-GB"/>
        </w:rPr>
        <w:t>, 19 (3), 535–578.</w:t>
      </w:r>
    </w:p>
    <w:p w:rsidR="001765F1" w:rsidRPr="008D59AC" w:rsidRDefault="001765F1" w:rsidP="0039262C">
      <w:pPr>
        <w:pStyle w:val="HRefBody"/>
        <w:rPr>
          <w:lang w:val="en-GB"/>
        </w:rPr>
      </w:pPr>
      <w:r w:rsidRPr="008D59AC">
        <w:rPr>
          <w:lang w:val="en-GB"/>
        </w:rPr>
        <w:t>Ali, A.</w:t>
      </w:r>
      <w:r w:rsidR="004B0FCB" w:rsidRPr="008D59AC">
        <w:rPr>
          <w:lang w:val="en-GB"/>
        </w:rPr>
        <w:t>,</w:t>
      </w:r>
      <w:r w:rsidRPr="008D59AC">
        <w:rPr>
          <w:lang w:val="en-GB"/>
        </w:rPr>
        <w:t xml:space="preserve"> </w:t>
      </w:r>
      <w:r w:rsidR="004B0FCB" w:rsidRPr="008D59AC">
        <w:rPr>
          <w:lang w:val="en-GB"/>
        </w:rPr>
        <w:t xml:space="preserve">&amp; </w:t>
      </w:r>
      <w:r w:rsidRPr="008D59AC">
        <w:rPr>
          <w:lang w:val="en-GB"/>
        </w:rPr>
        <w:t xml:space="preserve">Hwang, L-S. (2000). Country-Specific Factors Related to Financial Reporting and the Value Relevance of Accounting Data. </w:t>
      </w:r>
      <w:r w:rsidRPr="008D59AC">
        <w:rPr>
          <w:i/>
          <w:lang w:val="en-GB"/>
        </w:rPr>
        <w:t>Journal of Accounting Research</w:t>
      </w:r>
      <w:r w:rsidRPr="008D59AC">
        <w:rPr>
          <w:lang w:val="en-GB"/>
        </w:rPr>
        <w:t>, 38 (1), 1–21.</w:t>
      </w:r>
    </w:p>
    <w:p w:rsidR="00D16115" w:rsidRPr="008D59AC" w:rsidRDefault="00D16115" w:rsidP="0039262C">
      <w:pPr>
        <w:pStyle w:val="HRefBody"/>
        <w:rPr>
          <w:lang w:val="en-GB"/>
        </w:rPr>
      </w:pPr>
      <w:r w:rsidRPr="008D59AC">
        <w:rPr>
          <w:lang w:val="en-GB"/>
        </w:rPr>
        <w:t xml:space="preserve">Baboukardos, D., &amp; Rimmel, G. (2014). Goodwill under IFRS: Relevance and disclosure in an unfavorable environment. </w:t>
      </w:r>
      <w:r w:rsidRPr="008D59AC">
        <w:rPr>
          <w:i/>
          <w:lang w:val="en-GB"/>
        </w:rPr>
        <w:t xml:space="preserve">Accounting Forum, </w:t>
      </w:r>
      <w:r w:rsidRPr="008D59AC">
        <w:rPr>
          <w:lang w:val="en-GB"/>
        </w:rPr>
        <w:t>38, 1–17.</w:t>
      </w:r>
    </w:p>
    <w:p w:rsidR="00390A8C" w:rsidRPr="008D59AC" w:rsidRDefault="00390A8C" w:rsidP="0039262C">
      <w:pPr>
        <w:pStyle w:val="HRefBody"/>
        <w:rPr>
          <w:lang w:val="en-GB"/>
        </w:rPr>
      </w:pPr>
      <w:r w:rsidRPr="008D59AC">
        <w:rPr>
          <w:lang w:val="en-GB"/>
        </w:rPr>
        <w:t>Barth, M., Beaver, W.</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Landsman, W. (2001). The relevance of the value relevance literature for financial accounting standard setting: another view. </w:t>
      </w:r>
      <w:r w:rsidRPr="008D59AC">
        <w:rPr>
          <w:i/>
          <w:lang w:val="en-GB"/>
        </w:rPr>
        <w:t>Journal of Accounting and Economics</w:t>
      </w:r>
      <w:r w:rsidRPr="008D59AC">
        <w:rPr>
          <w:lang w:val="en-GB"/>
        </w:rPr>
        <w:t>, 31 (1–3), 77–104.</w:t>
      </w:r>
    </w:p>
    <w:p w:rsidR="00997DDD" w:rsidRPr="008D59AC" w:rsidRDefault="00997DDD" w:rsidP="0039262C">
      <w:pPr>
        <w:pStyle w:val="HRefBody"/>
        <w:rPr>
          <w:lang w:val="en-GB"/>
        </w:rPr>
      </w:pPr>
      <w:r w:rsidRPr="008D59AC">
        <w:rPr>
          <w:lang w:val="en-GB"/>
        </w:rPr>
        <w:t>Barth, M., Landsman, W.</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Lang, M. (2008). International Accounting Standards and Accounting Quality</w:t>
      </w:r>
      <w:r w:rsidRPr="008D59AC">
        <w:rPr>
          <w:i/>
          <w:lang w:val="en-GB"/>
        </w:rPr>
        <w:t>. Journal of Accounting Research</w:t>
      </w:r>
      <w:r w:rsidRPr="008D59AC">
        <w:rPr>
          <w:lang w:val="en-GB"/>
        </w:rPr>
        <w:t>, 46 (3),</w:t>
      </w:r>
      <w:r w:rsidR="007A756D" w:rsidRPr="008D59AC">
        <w:rPr>
          <w:lang w:val="en-GB"/>
        </w:rPr>
        <w:t xml:space="preserve"> </w:t>
      </w:r>
      <w:r w:rsidRPr="008D59AC">
        <w:rPr>
          <w:lang w:val="en-GB"/>
        </w:rPr>
        <w:t>467–498.</w:t>
      </w:r>
    </w:p>
    <w:p w:rsidR="00DC4DE1" w:rsidRPr="008D59AC" w:rsidRDefault="00DC4DE1" w:rsidP="0039262C">
      <w:pPr>
        <w:pStyle w:val="HRefBody"/>
        <w:rPr>
          <w:lang w:val="en-GB"/>
        </w:rPr>
      </w:pPr>
      <w:r w:rsidRPr="008D59AC">
        <w:rPr>
          <w:lang w:val="en-GB"/>
        </w:rPr>
        <w:t>Barth, M.</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Clinch, H. (2009). Scale effects in capital market-based accounting research. </w:t>
      </w:r>
      <w:r w:rsidRPr="008D59AC">
        <w:rPr>
          <w:i/>
          <w:lang w:val="en-GB"/>
        </w:rPr>
        <w:t>Journal of Business Finance &amp; Accounting</w:t>
      </w:r>
      <w:r w:rsidRPr="008D59AC">
        <w:rPr>
          <w:lang w:val="en-GB"/>
        </w:rPr>
        <w:t>, 36 (3–4), 253–288.</w:t>
      </w:r>
    </w:p>
    <w:p w:rsidR="00465F2C" w:rsidRPr="008D59AC" w:rsidRDefault="00AD3B01" w:rsidP="0039262C">
      <w:pPr>
        <w:pStyle w:val="HRefBody"/>
        <w:rPr>
          <w:lang w:val="en-GB"/>
        </w:rPr>
      </w:pPr>
      <w:r w:rsidRPr="008D59AC">
        <w:rPr>
          <w:lang w:val="en-GB"/>
        </w:rPr>
        <w:t>Barth</w:t>
      </w:r>
      <w:r w:rsidR="00465F2C" w:rsidRPr="008D59AC">
        <w:rPr>
          <w:lang w:val="en-GB"/>
        </w:rPr>
        <w:t>, M., Landsman, W., Young, D.</w:t>
      </w:r>
      <w:r w:rsidR="004B0FCB" w:rsidRPr="008D59AC">
        <w:rPr>
          <w:lang w:val="en-GB"/>
        </w:rPr>
        <w:t>,</w:t>
      </w:r>
      <w:r w:rsidR="00465F2C" w:rsidRPr="008D59AC">
        <w:rPr>
          <w:lang w:val="en-GB"/>
        </w:rPr>
        <w:t xml:space="preserve"> </w:t>
      </w:r>
      <w:r w:rsidR="004B0FCB" w:rsidRPr="008D59AC">
        <w:rPr>
          <w:lang w:val="en-GB"/>
        </w:rPr>
        <w:t>&amp;</w:t>
      </w:r>
      <w:r w:rsidR="00465F2C" w:rsidRPr="008D59AC">
        <w:rPr>
          <w:lang w:val="en-GB"/>
        </w:rPr>
        <w:t xml:space="preserve"> Zhuang, Z. (2014). Relevance of Differences </w:t>
      </w:r>
      <w:r w:rsidR="00DD6286" w:rsidRPr="008D59AC">
        <w:rPr>
          <w:lang w:val="en-GB"/>
        </w:rPr>
        <w:t>between</w:t>
      </w:r>
      <w:r w:rsidR="00465F2C" w:rsidRPr="008D59AC">
        <w:rPr>
          <w:lang w:val="en-GB"/>
        </w:rPr>
        <w:t xml:space="preserve"> Net Income based on IFRS and Domestic Standards for European Firms</w:t>
      </w:r>
      <w:r w:rsidR="00465F2C" w:rsidRPr="008D59AC">
        <w:rPr>
          <w:i/>
          <w:lang w:val="en-GB"/>
        </w:rPr>
        <w:t>. Journal of Business Finance &amp; Accounting,</w:t>
      </w:r>
      <w:r w:rsidR="00465F2C" w:rsidRPr="008D59AC">
        <w:rPr>
          <w:lang w:val="en-GB"/>
        </w:rPr>
        <w:t xml:space="preserve"> 41 (3–4), 297–327.</w:t>
      </w:r>
    </w:p>
    <w:p w:rsidR="0039262C" w:rsidRPr="008D59AC" w:rsidRDefault="0039262C" w:rsidP="0039262C">
      <w:pPr>
        <w:pStyle w:val="HRefBody"/>
        <w:rPr>
          <w:lang w:val="en-GB"/>
        </w:rPr>
      </w:pPr>
      <w:r w:rsidRPr="008D59AC">
        <w:rPr>
          <w:lang w:val="en-GB"/>
        </w:rPr>
        <w:t xml:space="preserve">Bartov, E., Mohanram, P., &amp; Nissim, D. (2007). Managerial discretion and the economic determinants of the disclosed </w:t>
      </w:r>
      <w:r w:rsidR="00DD6286" w:rsidRPr="008D59AC">
        <w:rPr>
          <w:lang w:val="en-GB"/>
        </w:rPr>
        <w:t>volatility</w:t>
      </w:r>
      <w:r w:rsidRPr="008D59AC">
        <w:rPr>
          <w:lang w:val="en-GB"/>
        </w:rPr>
        <w:t xml:space="preserve"> parameter for valuing ESOs. </w:t>
      </w:r>
      <w:r w:rsidRPr="008D59AC">
        <w:rPr>
          <w:i/>
          <w:lang w:val="en-GB"/>
        </w:rPr>
        <w:t>Review of Accounting Studies</w:t>
      </w:r>
      <w:r w:rsidRPr="008D59AC">
        <w:rPr>
          <w:lang w:val="en-GB"/>
        </w:rPr>
        <w:t>, 12 (1), 155–179.</w:t>
      </w:r>
    </w:p>
    <w:p w:rsidR="0039262C" w:rsidRPr="008D59AC" w:rsidRDefault="0039262C" w:rsidP="0039262C">
      <w:pPr>
        <w:pStyle w:val="HRefBody"/>
        <w:rPr>
          <w:lang w:val="en-GB"/>
        </w:rPr>
      </w:pPr>
      <w:r w:rsidRPr="008D59AC">
        <w:rPr>
          <w:lang w:val="en-GB"/>
        </w:rPr>
        <w:t xml:space="preserve">Beatty, A., &amp; Weber, J. (2006). Accounting discretion in fair value estimates: An examination of SFAS 142 goodwill impairments. </w:t>
      </w:r>
      <w:r w:rsidRPr="008D59AC">
        <w:rPr>
          <w:i/>
          <w:lang w:val="en-GB"/>
        </w:rPr>
        <w:t>Journal of Accounting Research</w:t>
      </w:r>
      <w:r w:rsidRPr="008D59AC">
        <w:rPr>
          <w:lang w:val="en-GB"/>
        </w:rPr>
        <w:t>, 44 (2), 257–288.</w:t>
      </w:r>
    </w:p>
    <w:p w:rsidR="00FC7E62" w:rsidRPr="008D59AC" w:rsidRDefault="00FC7E62" w:rsidP="0039262C">
      <w:pPr>
        <w:pStyle w:val="HRefBody"/>
        <w:rPr>
          <w:lang w:val="en-GB"/>
        </w:rPr>
      </w:pPr>
      <w:r w:rsidRPr="008D59AC">
        <w:rPr>
          <w:lang w:val="en-GB"/>
        </w:rPr>
        <w:t xml:space="preserve">Beisland, L. (2014). Equity valuation in practice: The influence on net financial expenses. </w:t>
      </w:r>
      <w:r w:rsidRPr="008D59AC">
        <w:rPr>
          <w:i/>
          <w:lang w:val="en-GB"/>
        </w:rPr>
        <w:t xml:space="preserve">Accounting Forum, </w:t>
      </w:r>
      <w:r w:rsidRPr="008D59AC">
        <w:rPr>
          <w:lang w:val="en-GB"/>
        </w:rPr>
        <w:t>38, 122–131.</w:t>
      </w:r>
    </w:p>
    <w:p w:rsidR="0039262C" w:rsidRPr="008D59AC" w:rsidRDefault="00B532E1" w:rsidP="0039262C">
      <w:pPr>
        <w:pStyle w:val="HRefBody"/>
        <w:rPr>
          <w:lang w:val="en-GB"/>
        </w:rPr>
      </w:pPr>
      <w:r w:rsidRPr="008D59AC">
        <w:rPr>
          <w:lang w:val="en-GB"/>
        </w:rPr>
        <w:t xml:space="preserve">Bowen, R., Rajgopal, S., </w:t>
      </w:r>
      <w:r w:rsidR="004B0FCB" w:rsidRPr="008D59AC">
        <w:rPr>
          <w:lang w:val="en-GB"/>
        </w:rPr>
        <w:t>&amp;</w:t>
      </w:r>
      <w:r w:rsidR="0039262C" w:rsidRPr="008D59AC">
        <w:rPr>
          <w:lang w:val="en-GB"/>
        </w:rPr>
        <w:t xml:space="preserve"> Venkatachalam, M. (2008). Accounting discretion, corporate governance, and firm performance. </w:t>
      </w:r>
      <w:r w:rsidR="0039262C" w:rsidRPr="008D59AC">
        <w:rPr>
          <w:i/>
          <w:lang w:val="en-GB"/>
        </w:rPr>
        <w:t>Contemporary Accounting Research</w:t>
      </w:r>
      <w:r w:rsidR="0039262C" w:rsidRPr="008D59AC">
        <w:rPr>
          <w:lang w:val="en-GB"/>
        </w:rPr>
        <w:t>, 25 (2), 351–405.</w:t>
      </w:r>
    </w:p>
    <w:p w:rsidR="000C0CF6" w:rsidRPr="008D59AC" w:rsidRDefault="000C0CF6" w:rsidP="0039262C">
      <w:pPr>
        <w:pStyle w:val="HRefBody"/>
        <w:rPr>
          <w:lang w:val="en-GB"/>
        </w:rPr>
      </w:pPr>
      <w:r w:rsidRPr="008D59AC">
        <w:rPr>
          <w:lang w:val="en-GB"/>
        </w:rPr>
        <w:t>Cahan, S., Emanuel, D.</w:t>
      </w:r>
      <w:r w:rsidR="004B0FCB" w:rsidRPr="008D59AC">
        <w:rPr>
          <w:lang w:val="en-GB"/>
        </w:rPr>
        <w:t xml:space="preserve">, &amp; </w:t>
      </w:r>
      <w:r w:rsidRPr="008D59AC">
        <w:rPr>
          <w:lang w:val="en-GB"/>
        </w:rPr>
        <w:t>Sun, J. (2009). The effect of earnings quality and country-level institutions on the value relevance of earnings</w:t>
      </w:r>
      <w:r w:rsidR="0093612E" w:rsidRPr="008D59AC">
        <w:rPr>
          <w:lang w:val="en-GB"/>
        </w:rPr>
        <w:t>.</w:t>
      </w:r>
      <w:r w:rsidRPr="008D59AC">
        <w:rPr>
          <w:lang w:val="en-GB"/>
        </w:rPr>
        <w:t xml:space="preserve"> </w:t>
      </w:r>
      <w:r w:rsidRPr="008D59AC">
        <w:rPr>
          <w:i/>
          <w:lang w:val="en-GB"/>
        </w:rPr>
        <w:t>Review of Quantitative Finance and Accounting</w:t>
      </w:r>
      <w:r w:rsidRPr="008D59AC">
        <w:rPr>
          <w:lang w:val="en-GB"/>
        </w:rPr>
        <w:t>, 33 (4), 371–391.</w:t>
      </w:r>
    </w:p>
    <w:p w:rsidR="009C5B78" w:rsidRPr="008D59AC" w:rsidRDefault="009C5B78" w:rsidP="0039262C">
      <w:pPr>
        <w:pStyle w:val="HRefBody"/>
        <w:rPr>
          <w:lang w:val="en-GB"/>
        </w:rPr>
      </w:pPr>
      <w:r w:rsidRPr="008D59AC">
        <w:rPr>
          <w:lang w:val="en-GB"/>
        </w:rPr>
        <w:t>Dechow, P., Myers, L.</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Shakespeare, C. (2010). Fair value accounting and gains from asset securitizations: A convenient earnings management tool with compensation side-benefits. </w:t>
      </w:r>
      <w:r w:rsidRPr="008D59AC">
        <w:rPr>
          <w:i/>
          <w:lang w:val="en-GB"/>
        </w:rPr>
        <w:t xml:space="preserve">Journal of Accounting and Economics, </w:t>
      </w:r>
      <w:r w:rsidRPr="008D59AC">
        <w:rPr>
          <w:lang w:val="en-GB"/>
        </w:rPr>
        <w:t>49 (1–2), 2–25.</w:t>
      </w:r>
      <w:r w:rsidRPr="008D59AC">
        <w:rPr>
          <w:i/>
          <w:lang w:val="en-GB"/>
        </w:rPr>
        <w:t xml:space="preserve"> </w:t>
      </w:r>
    </w:p>
    <w:p w:rsidR="00B12F2A" w:rsidRPr="008D59AC" w:rsidRDefault="00B12F2A" w:rsidP="0039262C">
      <w:pPr>
        <w:pStyle w:val="HRefBody"/>
        <w:rPr>
          <w:lang w:val="en-GB"/>
        </w:rPr>
      </w:pPr>
      <w:r w:rsidRPr="008D59AC">
        <w:rPr>
          <w:lang w:val="en-GB"/>
        </w:rPr>
        <w:t>DeFond, M., Hung, M.</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Trezevant, R. (2007). Investor protection and the information content of annual earnings announ</w:t>
      </w:r>
      <w:r w:rsidR="00B32F42" w:rsidRPr="008D59AC">
        <w:rPr>
          <w:lang w:val="en-GB"/>
        </w:rPr>
        <w:t>cements: International evidence.</w:t>
      </w:r>
      <w:r w:rsidRPr="008D59AC">
        <w:rPr>
          <w:lang w:val="en-GB"/>
        </w:rPr>
        <w:t xml:space="preserve"> </w:t>
      </w:r>
      <w:r w:rsidRPr="008D59AC">
        <w:rPr>
          <w:i/>
          <w:lang w:val="en-GB"/>
        </w:rPr>
        <w:t>Journal of Accounting and Economics</w:t>
      </w:r>
      <w:r w:rsidRPr="008D59AC">
        <w:rPr>
          <w:lang w:val="en-GB"/>
        </w:rPr>
        <w:t>, 43 (1), 37–67.</w:t>
      </w:r>
    </w:p>
    <w:p w:rsidR="00B32F42" w:rsidRPr="008D59AC" w:rsidRDefault="00B32F42" w:rsidP="0039262C">
      <w:pPr>
        <w:pStyle w:val="HRefBody"/>
        <w:rPr>
          <w:lang w:val="en-GB"/>
        </w:rPr>
      </w:pPr>
      <w:r w:rsidRPr="008D59AC">
        <w:rPr>
          <w:lang w:val="en-GB"/>
        </w:rPr>
        <w:t>Ettredge, M., Johnstone, K., Stone, M.</w:t>
      </w:r>
      <w:r w:rsidR="004B0FCB" w:rsidRPr="008D59AC">
        <w:rPr>
          <w:lang w:val="en-GB"/>
        </w:rPr>
        <w:t>,</w:t>
      </w:r>
      <w:r w:rsidRPr="008D59AC">
        <w:rPr>
          <w:lang w:val="en-GB"/>
        </w:rPr>
        <w:t xml:space="preserve"> </w:t>
      </w:r>
      <w:r w:rsidR="004B0FCB" w:rsidRPr="008D59AC">
        <w:rPr>
          <w:lang w:val="en-GB"/>
        </w:rPr>
        <w:t xml:space="preserve">&amp; </w:t>
      </w:r>
      <w:r w:rsidRPr="008D59AC">
        <w:rPr>
          <w:lang w:val="en-GB"/>
        </w:rPr>
        <w:t>Wang, Q. (2011). The effects on firm size, corporate governance quality, and bad news on disclosure compliance</w:t>
      </w:r>
      <w:r w:rsidRPr="008D59AC">
        <w:rPr>
          <w:i/>
          <w:lang w:val="en-GB"/>
        </w:rPr>
        <w:t>. Review of Accounting Studies</w:t>
      </w:r>
      <w:r w:rsidRPr="008D59AC">
        <w:rPr>
          <w:lang w:val="en-GB"/>
        </w:rPr>
        <w:t>, 16 (4), 866–889.</w:t>
      </w:r>
    </w:p>
    <w:p w:rsidR="00CB5707" w:rsidRPr="008D59AC" w:rsidRDefault="00CB5707" w:rsidP="0039262C">
      <w:pPr>
        <w:pStyle w:val="HRefBody"/>
        <w:rPr>
          <w:lang w:val="en-GB"/>
        </w:rPr>
      </w:pPr>
      <w:r w:rsidRPr="008D59AC">
        <w:rPr>
          <w:lang w:val="en-GB"/>
        </w:rPr>
        <w:lastRenderedPageBreak/>
        <w:t xml:space="preserve">Fargher, N. Zhang, J. Z. (2014). Changes in the measurement of fair value: Implications for accounting earnings. </w:t>
      </w:r>
      <w:r w:rsidRPr="008D59AC">
        <w:rPr>
          <w:i/>
          <w:lang w:val="en-GB"/>
        </w:rPr>
        <w:t xml:space="preserve">Accounting Forum, </w:t>
      </w:r>
      <w:r w:rsidRPr="008D59AC">
        <w:rPr>
          <w:lang w:val="en-GB"/>
        </w:rPr>
        <w:t>38, 184–199.</w:t>
      </w:r>
    </w:p>
    <w:p w:rsidR="0052034C" w:rsidRPr="008D59AC" w:rsidRDefault="00B81B7F" w:rsidP="0039262C">
      <w:pPr>
        <w:pStyle w:val="HRefBody"/>
        <w:rPr>
          <w:lang w:val="en-GB"/>
        </w:rPr>
      </w:pPr>
      <w:r w:rsidRPr="008D59AC">
        <w:rPr>
          <w:lang w:val="en-GB"/>
        </w:rPr>
        <w:t>Financial Accounting Standards Board (FASB). (2006). Fair Value Measurement. Statement of Financial Accounting Standards No. 157.</w:t>
      </w:r>
    </w:p>
    <w:p w:rsidR="006E418D" w:rsidRPr="008D59AC" w:rsidRDefault="006E418D" w:rsidP="0039262C">
      <w:pPr>
        <w:pStyle w:val="HRefBody"/>
        <w:rPr>
          <w:lang w:val="en-GB"/>
        </w:rPr>
      </w:pPr>
      <w:r w:rsidRPr="008D59AC">
        <w:rPr>
          <w:lang w:val="en-GB"/>
        </w:rPr>
        <w:t>Francis, J.</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Wang, D.</w:t>
      </w:r>
      <w:r w:rsidR="002E5711" w:rsidRPr="008D59AC">
        <w:rPr>
          <w:lang w:val="en-GB"/>
        </w:rPr>
        <w:t xml:space="preserve"> (2008).</w:t>
      </w:r>
      <w:r w:rsidRPr="008D59AC">
        <w:rPr>
          <w:lang w:val="en-GB"/>
        </w:rPr>
        <w:t xml:space="preserve"> The Joint Effect of Investor Protection and Big 4 Audits on E</w:t>
      </w:r>
      <w:r w:rsidR="0093612E" w:rsidRPr="008D59AC">
        <w:rPr>
          <w:lang w:val="en-GB"/>
        </w:rPr>
        <w:t>arnings Quality around the World.</w:t>
      </w:r>
      <w:r w:rsidRPr="008D59AC">
        <w:rPr>
          <w:i/>
          <w:lang w:val="en-GB"/>
        </w:rPr>
        <w:t xml:space="preserve"> </w:t>
      </w:r>
      <w:r w:rsidR="00DD6286" w:rsidRPr="008D59AC">
        <w:rPr>
          <w:i/>
          <w:lang w:val="en-GB"/>
        </w:rPr>
        <w:t>Contemporary</w:t>
      </w:r>
      <w:r w:rsidRPr="008D59AC">
        <w:rPr>
          <w:i/>
          <w:lang w:val="en-GB"/>
        </w:rPr>
        <w:t xml:space="preserve"> Accounting Research</w:t>
      </w:r>
      <w:r w:rsidRPr="008D59AC">
        <w:rPr>
          <w:lang w:val="en-GB"/>
        </w:rPr>
        <w:t>, 25 (1), 157–191.</w:t>
      </w:r>
    </w:p>
    <w:p w:rsidR="004C3930" w:rsidRPr="008D59AC" w:rsidRDefault="004C3930" w:rsidP="0039262C">
      <w:pPr>
        <w:pStyle w:val="HRefBody"/>
        <w:rPr>
          <w:lang w:val="en-GB"/>
        </w:rPr>
      </w:pPr>
      <w:r w:rsidRPr="008D59AC">
        <w:rPr>
          <w:lang w:val="en-GB"/>
        </w:rPr>
        <w:t>G</w:t>
      </w:r>
      <w:r w:rsidR="00F35BD5" w:rsidRPr="008D59AC">
        <w:rPr>
          <w:lang w:val="en-GB"/>
        </w:rPr>
        <w:t>oh, B., Li, D., Ng, J.</w:t>
      </w:r>
      <w:r w:rsidR="004B0FCB" w:rsidRPr="008D59AC">
        <w:rPr>
          <w:lang w:val="en-GB"/>
        </w:rPr>
        <w:t>,</w:t>
      </w:r>
      <w:r w:rsidR="00F35BD5" w:rsidRPr="008D59AC">
        <w:rPr>
          <w:lang w:val="en-GB"/>
        </w:rPr>
        <w:t xml:space="preserve"> </w:t>
      </w:r>
      <w:r w:rsidR="004B0FCB" w:rsidRPr="008D59AC">
        <w:rPr>
          <w:lang w:val="en-GB"/>
        </w:rPr>
        <w:t>&amp;</w:t>
      </w:r>
      <w:r w:rsidR="00F35BD5" w:rsidRPr="008D59AC">
        <w:rPr>
          <w:lang w:val="en-GB"/>
        </w:rPr>
        <w:t xml:space="preserve"> Yong, K. (</w:t>
      </w:r>
      <w:r w:rsidR="00765B24" w:rsidRPr="008D59AC">
        <w:rPr>
          <w:lang w:val="en-GB"/>
        </w:rPr>
        <w:t>2015</w:t>
      </w:r>
      <w:r w:rsidRPr="008D59AC">
        <w:rPr>
          <w:lang w:val="en-GB"/>
        </w:rPr>
        <w:t xml:space="preserve">). Market Pricing of Banks’ Fair Value Assets Reported under SFAS 157 </w:t>
      </w:r>
      <w:r w:rsidR="00F35BD5" w:rsidRPr="008D59AC">
        <w:rPr>
          <w:lang w:val="en-GB"/>
        </w:rPr>
        <w:t>since</w:t>
      </w:r>
      <w:r w:rsidRPr="008D59AC">
        <w:rPr>
          <w:lang w:val="en-GB"/>
        </w:rPr>
        <w:t xml:space="preserve"> the 2008 </w:t>
      </w:r>
      <w:r w:rsidR="00F35BD5" w:rsidRPr="008D59AC">
        <w:rPr>
          <w:lang w:val="en-GB"/>
        </w:rPr>
        <w:t>Financial</w:t>
      </w:r>
      <w:r w:rsidRPr="008D59AC">
        <w:rPr>
          <w:lang w:val="en-GB"/>
        </w:rPr>
        <w:t xml:space="preserve"> Crisis. </w:t>
      </w:r>
      <w:r w:rsidR="00F35BD5" w:rsidRPr="008D59AC">
        <w:rPr>
          <w:i/>
          <w:lang w:val="en-GB"/>
        </w:rPr>
        <w:t>Journal of Accounting and Public Policy</w:t>
      </w:r>
      <w:r w:rsidR="00F35BD5" w:rsidRPr="008D59AC">
        <w:rPr>
          <w:lang w:val="en-GB"/>
        </w:rPr>
        <w:t>, Forthcoming.</w:t>
      </w:r>
    </w:p>
    <w:p w:rsidR="009F3E13" w:rsidRPr="008D59AC" w:rsidRDefault="009F3E13" w:rsidP="0039262C">
      <w:pPr>
        <w:pStyle w:val="HRefBody"/>
        <w:rPr>
          <w:lang w:val="en-GB"/>
        </w:rPr>
      </w:pPr>
      <w:r w:rsidRPr="008D59AC">
        <w:rPr>
          <w:lang w:val="en-GB"/>
        </w:rPr>
        <w:t>Gul, F., Zhou, G.</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Zhu, X. (2013). Investor Protection, Firm Informational Problems, Big N Auditors, and Cost of Debt around the World. </w:t>
      </w:r>
      <w:r w:rsidRPr="008D59AC">
        <w:rPr>
          <w:i/>
          <w:lang w:val="en-GB"/>
        </w:rPr>
        <w:t>Auditing: A Journal of Practice &amp; Theory</w:t>
      </w:r>
      <w:r w:rsidRPr="008D59AC">
        <w:rPr>
          <w:lang w:val="en-GB"/>
        </w:rPr>
        <w:t>, 32 (3), 1–30.</w:t>
      </w:r>
    </w:p>
    <w:p w:rsidR="00A83C9F" w:rsidRPr="008D59AC" w:rsidRDefault="00A83C9F" w:rsidP="0039262C">
      <w:pPr>
        <w:pStyle w:val="HRefBody"/>
        <w:rPr>
          <w:lang w:val="en-GB"/>
        </w:rPr>
      </w:pPr>
      <w:r w:rsidRPr="008D59AC">
        <w:rPr>
          <w:lang w:val="en-GB"/>
        </w:rPr>
        <w:t>Houqe, M., van Zijl, T., Dunstan, K.</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Karim W. (2012). The Effect of IFRS Adoption and Investor Protection on Earnings Quality </w:t>
      </w:r>
      <w:r w:rsidR="00DD6286" w:rsidRPr="008D59AC">
        <w:rPr>
          <w:lang w:val="en-GB"/>
        </w:rPr>
        <w:t>around</w:t>
      </w:r>
      <w:r w:rsidRPr="008D59AC">
        <w:rPr>
          <w:lang w:val="en-GB"/>
        </w:rPr>
        <w:t xml:space="preserve"> the World. </w:t>
      </w:r>
      <w:r w:rsidRPr="008D59AC">
        <w:rPr>
          <w:i/>
          <w:lang w:val="en-GB"/>
        </w:rPr>
        <w:t>The International Journal of Accounting</w:t>
      </w:r>
      <w:r w:rsidRPr="008D59AC">
        <w:rPr>
          <w:lang w:val="en-GB"/>
        </w:rPr>
        <w:t>, 47 (3), 333–355.</w:t>
      </w:r>
    </w:p>
    <w:p w:rsidR="008F0124" w:rsidRPr="008D59AC" w:rsidRDefault="00971EFA" w:rsidP="0039262C">
      <w:pPr>
        <w:pStyle w:val="HRefBody"/>
        <w:rPr>
          <w:lang w:val="en-GB"/>
        </w:rPr>
      </w:pPr>
      <w:r w:rsidRPr="008D59AC">
        <w:rPr>
          <w:lang w:val="en-GB"/>
        </w:rPr>
        <w:t xml:space="preserve">International Accounting Standards Board (IASB). (2011). IFRS 13 Fair Value Measurement. </w:t>
      </w:r>
    </w:p>
    <w:p w:rsidR="000C5512" w:rsidRPr="008D59AC" w:rsidRDefault="000C5512" w:rsidP="000C5512">
      <w:pPr>
        <w:pStyle w:val="HRefBody"/>
        <w:rPr>
          <w:lang w:val="en-GB"/>
        </w:rPr>
      </w:pPr>
      <w:r w:rsidRPr="008D59AC">
        <w:rPr>
          <w:lang w:val="en-GB"/>
        </w:rPr>
        <w:t xml:space="preserve">Isaac, W. (2008). Prepared remarks for SEC roundtable on mark-to-market accounting. </w:t>
      </w:r>
      <w:hyperlink r:id="rId9" w:history="1">
        <w:r w:rsidRPr="008D59AC">
          <w:rPr>
            <w:rStyle w:val="Hyperlink"/>
            <w:lang w:val="en-GB"/>
          </w:rPr>
          <w:t>http://www.sec.gov/comments/4-573/4573-79.pdf</w:t>
        </w:r>
      </w:hyperlink>
      <w:r w:rsidRPr="008D59AC">
        <w:rPr>
          <w:lang w:val="en-GB"/>
        </w:rPr>
        <w:t>.</w:t>
      </w:r>
    </w:p>
    <w:p w:rsidR="00F651A2" w:rsidRPr="008D59AC" w:rsidRDefault="00F651A2" w:rsidP="0039262C">
      <w:pPr>
        <w:pStyle w:val="HRefBody"/>
        <w:rPr>
          <w:lang w:val="en-GB"/>
        </w:rPr>
      </w:pPr>
      <w:r w:rsidRPr="008D59AC">
        <w:rPr>
          <w:lang w:val="en-GB"/>
        </w:rPr>
        <w:t>Kaufmann, D., Kraay, A.</w:t>
      </w:r>
      <w:r w:rsidR="004B0FCB" w:rsidRPr="008D59AC">
        <w:rPr>
          <w:lang w:val="en-GB"/>
        </w:rPr>
        <w:t>,</w:t>
      </w:r>
      <w:r w:rsidRPr="008D59AC">
        <w:rPr>
          <w:lang w:val="en-GB"/>
        </w:rPr>
        <w:t xml:space="preserve"> </w:t>
      </w:r>
      <w:r w:rsidR="004B0FCB" w:rsidRPr="008D59AC">
        <w:rPr>
          <w:lang w:val="en-GB"/>
        </w:rPr>
        <w:t xml:space="preserve">&amp; </w:t>
      </w:r>
      <w:r w:rsidRPr="008D59AC">
        <w:rPr>
          <w:lang w:val="en-GB"/>
        </w:rPr>
        <w:t>Mastruzzi, M. (2009). Governance Matters VI</w:t>
      </w:r>
      <w:r w:rsidR="00460BAE" w:rsidRPr="008D59AC">
        <w:rPr>
          <w:lang w:val="en-GB"/>
        </w:rPr>
        <w:t>I</w:t>
      </w:r>
      <w:r w:rsidRPr="008D59AC">
        <w:rPr>
          <w:lang w:val="en-GB"/>
        </w:rPr>
        <w:t xml:space="preserve">I: Aggregate and Individual Governance Indicators 1996–2008. </w:t>
      </w:r>
      <w:r w:rsidR="00713DDD" w:rsidRPr="008D59AC">
        <w:rPr>
          <w:lang w:val="en-GB"/>
        </w:rPr>
        <w:t>World Bank Polic</w:t>
      </w:r>
      <w:r w:rsidRPr="008D59AC">
        <w:rPr>
          <w:lang w:val="en-GB"/>
        </w:rPr>
        <w:t>y Research Working Paper 4978.</w:t>
      </w:r>
    </w:p>
    <w:p w:rsidR="0079235B" w:rsidRPr="008D59AC" w:rsidRDefault="0079235B" w:rsidP="0039262C">
      <w:pPr>
        <w:pStyle w:val="HRefBody"/>
        <w:rPr>
          <w:lang w:val="en-GB"/>
        </w:rPr>
      </w:pPr>
      <w:r w:rsidRPr="008D59AC">
        <w:rPr>
          <w:lang w:val="en-GB"/>
        </w:rPr>
        <w:t>Khurana, I.</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Kim, M-S. (2003). Relative value relevance of historical cost vs. fair value: Evidence from bank holding companies. </w:t>
      </w:r>
      <w:r w:rsidRPr="008D59AC">
        <w:rPr>
          <w:i/>
          <w:lang w:val="en-GB"/>
        </w:rPr>
        <w:t xml:space="preserve">Journal of Accounting and Public Policy, </w:t>
      </w:r>
      <w:r w:rsidRPr="008D59AC">
        <w:rPr>
          <w:lang w:val="en-GB"/>
        </w:rPr>
        <w:t>22 (1), 19–42.</w:t>
      </w:r>
    </w:p>
    <w:p w:rsidR="004C3930" w:rsidRPr="008D59AC" w:rsidRDefault="004C3930" w:rsidP="0039262C">
      <w:pPr>
        <w:pStyle w:val="HRefBody"/>
        <w:rPr>
          <w:lang w:val="en-GB"/>
        </w:rPr>
      </w:pPr>
      <w:r w:rsidRPr="008D59AC">
        <w:rPr>
          <w:lang w:val="en-GB"/>
        </w:rPr>
        <w:t>Kolev, K. (2009). Do Investors Perceive Marking-to-Model as Marking-to-Myth? Early Evidence from FAS 157 Disclosure. Working Paper, New York University.</w:t>
      </w:r>
    </w:p>
    <w:p w:rsidR="005A46E3" w:rsidRPr="008D59AC" w:rsidRDefault="005A46E3" w:rsidP="0039262C">
      <w:pPr>
        <w:pStyle w:val="HRefBody"/>
        <w:rPr>
          <w:lang w:val="en-GB"/>
        </w:rPr>
      </w:pPr>
      <w:r w:rsidRPr="00513FBE">
        <w:t>La Porta, R., Lopez-De-Silanes, F., Shleifer, A.</w:t>
      </w:r>
      <w:r w:rsidR="004B0FCB" w:rsidRPr="00513FBE">
        <w:t>,</w:t>
      </w:r>
      <w:r w:rsidRPr="00513FBE">
        <w:t xml:space="preserve"> </w:t>
      </w:r>
      <w:r w:rsidR="004B0FCB" w:rsidRPr="00513FBE">
        <w:t xml:space="preserve">&amp; </w:t>
      </w:r>
      <w:r w:rsidRPr="00513FBE">
        <w:t xml:space="preserve">Vishny, R. (1998). </w:t>
      </w:r>
      <w:r w:rsidRPr="008D59AC">
        <w:rPr>
          <w:lang w:val="en-GB"/>
        </w:rPr>
        <w:t>Law and finance</w:t>
      </w:r>
      <w:r w:rsidRPr="008D59AC">
        <w:rPr>
          <w:i/>
          <w:lang w:val="en-GB"/>
        </w:rPr>
        <w:t>. The Journal of Political Economy</w:t>
      </w:r>
      <w:r w:rsidRPr="008D59AC">
        <w:rPr>
          <w:lang w:val="en-GB"/>
        </w:rPr>
        <w:t xml:space="preserve">, </w:t>
      </w:r>
      <w:r w:rsidR="006F194D" w:rsidRPr="008D59AC">
        <w:rPr>
          <w:lang w:val="en-GB"/>
        </w:rPr>
        <w:t>106 (6), 1113–1155.</w:t>
      </w:r>
    </w:p>
    <w:p w:rsidR="007A510D" w:rsidRPr="008D59AC" w:rsidRDefault="007A510D" w:rsidP="0039262C">
      <w:pPr>
        <w:pStyle w:val="HRefBody"/>
        <w:rPr>
          <w:lang w:val="en-GB"/>
        </w:rPr>
      </w:pPr>
      <w:r w:rsidRPr="008D59AC">
        <w:rPr>
          <w:lang w:val="en-GB"/>
        </w:rPr>
        <w:t>La Porta, R., Lopez-De-Silanes, F.,</w:t>
      </w:r>
      <w:r w:rsidR="004B0FCB" w:rsidRPr="008D59AC">
        <w:rPr>
          <w:lang w:val="en-GB"/>
        </w:rPr>
        <w:t xml:space="preserve"> &amp;</w:t>
      </w:r>
      <w:r w:rsidRPr="008D59AC">
        <w:rPr>
          <w:lang w:val="en-GB"/>
        </w:rPr>
        <w:t xml:space="preserve"> Shleifer, A. (2006</w:t>
      </w:r>
      <w:r w:rsidR="002B24BD" w:rsidRPr="008D59AC">
        <w:rPr>
          <w:lang w:val="en-GB"/>
        </w:rPr>
        <w:t>). What works in securities law</w:t>
      </w:r>
      <w:r w:rsidR="00DD6286" w:rsidRPr="008D59AC">
        <w:rPr>
          <w:lang w:val="en-GB"/>
        </w:rPr>
        <w:t>?</w:t>
      </w:r>
      <w:r w:rsidRPr="008D59AC">
        <w:rPr>
          <w:lang w:val="en-GB"/>
        </w:rPr>
        <w:t xml:space="preserve"> </w:t>
      </w:r>
      <w:r w:rsidRPr="008D59AC">
        <w:rPr>
          <w:i/>
          <w:lang w:val="en-GB"/>
        </w:rPr>
        <w:t>Journal of Finance</w:t>
      </w:r>
      <w:r w:rsidRPr="008D59AC">
        <w:rPr>
          <w:lang w:val="en-GB"/>
        </w:rPr>
        <w:t>, 61 (1), 1–32.</w:t>
      </w:r>
    </w:p>
    <w:p w:rsidR="00DC4DE1" w:rsidRPr="008D59AC" w:rsidRDefault="00DC4DE1" w:rsidP="0039262C">
      <w:pPr>
        <w:pStyle w:val="HRefBody"/>
        <w:rPr>
          <w:lang w:val="en-GB"/>
        </w:rPr>
      </w:pPr>
      <w:r w:rsidRPr="008D59AC">
        <w:rPr>
          <w:lang w:val="en-GB"/>
        </w:rPr>
        <w:t>Laghi, E., Pucci, S., Tutino, M.</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Di Marcantonio, M. (2012). Fair Value Hierarchy in Financial Instruments Disclosure. Is Transparency Well Assessed for Investors? Evidence from Banking Industry</w:t>
      </w:r>
      <w:r w:rsidRPr="008D59AC">
        <w:rPr>
          <w:i/>
          <w:lang w:val="en-GB"/>
        </w:rPr>
        <w:t>. Journal of Governance and Regulation</w:t>
      </w:r>
      <w:r w:rsidRPr="008D59AC">
        <w:rPr>
          <w:lang w:val="en-GB"/>
        </w:rPr>
        <w:t>, 1 (4), 23–33.</w:t>
      </w:r>
    </w:p>
    <w:p w:rsidR="000C5512" w:rsidRPr="008D59AC" w:rsidRDefault="000C5512" w:rsidP="000C5512">
      <w:pPr>
        <w:pStyle w:val="HRefBody"/>
        <w:rPr>
          <w:lang w:val="en-GB"/>
        </w:rPr>
      </w:pPr>
      <w:r w:rsidRPr="008D59AC">
        <w:rPr>
          <w:lang w:val="en-GB"/>
        </w:rPr>
        <w:t xml:space="preserve">Laux, C. and Leuz, C. (2009). The crisis of fair-value accounting: Making sense of the recent debate. </w:t>
      </w:r>
      <w:r w:rsidRPr="008D59AC">
        <w:rPr>
          <w:i/>
          <w:lang w:val="en-GB"/>
        </w:rPr>
        <w:t>Accounting, Organizations and Society</w:t>
      </w:r>
      <w:r w:rsidRPr="008D59AC">
        <w:rPr>
          <w:lang w:val="en-GB"/>
        </w:rPr>
        <w:t>, 34, 826–834.</w:t>
      </w:r>
    </w:p>
    <w:p w:rsidR="009A04D9" w:rsidRPr="008D59AC" w:rsidRDefault="009A04D9" w:rsidP="0039262C">
      <w:pPr>
        <w:pStyle w:val="HRefBody"/>
        <w:rPr>
          <w:lang w:val="en-GB"/>
        </w:rPr>
      </w:pPr>
      <w:r w:rsidRPr="008D59AC">
        <w:rPr>
          <w:lang w:val="en-GB"/>
        </w:rPr>
        <w:t xml:space="preserve">Leuz, C., Nanda, D., </w:t>
      </w:r>
      <w:r w:rsidR="004B0FCB" w:rsidRPr="008D59AC">
        <w:rPr>
          <w:lang w:val="en-GB"/>
        </w:rPr>
        <w:t>&amp;</w:t>
      </w:r>
      <w:r w:rsidRPr="008D59AC">
        <w:rPr>
          <w:lang w:val="en-GB"/>
        </w:rPr>
        <w:t xml:space="preserve"> Wysocki, P. (2003). Earnings management and investor protection: an international comparison. </w:t>
      </w:r>
      <w:r w:rsidRPr="008D59AC">
        <w:rPr>
          <w:i/>
          <w:lang w:val="en-GB"/>
        </w:rPr>
        <w:t>Journal of Financial Economics</w:t>
      </w:r>
      <w:r w:rsidRPr="008D59AC">
        <w:rPr>
          <w:lang w:val="en-GB"/>
        </w:rPr>
        <w:t>, 69 (3), 505–527.</w:t>
      </w:r>
    </w:p>
    <w:p w:rsidR="0039262C" w:rsidRPr="008D59AC" w:rsidRDefault="0039262C" w:rsidP="0039262C">
      <w:pPr>
        <w:pStyle w:val="HRefBody"/>
        <w:rPr>
          <w:lang w:val="en-GB"/>
        </w:rPr>
      </w:pPr>
      <w:r w:rsidRPr="008D59AC">
        <w:rPr>
          <w:lang w:val="en-GB"/>
        </w:rPr>
        <w:t xml:space="preserve">Myers, J., Myers, L., &amp; Skinner, D. (2007). Earnings momentum and earnings management. </w:t>
      </w:r>
      <w:r w:rsidRPr="008D59AC">
        <w:rPr>
          <w:i/>
          <w:lang w:val="en-GB"/>
        </w:rPr>
        <w:t>Journal of Accounting, Auditing &amp; Finance</w:t>
      </w:r>
      <w:r w:rsidRPr="008D59AC">
        <w:rPr>
          <w:lang w:val="en-GB"/>
        </w:rPr>
        <w:t>, 22 (2), 249–284.</w:t>
      </w:r>
    </w:p>
    <w:p w:rsidR="003D2371" w:rsidRPr="008D59AC" w:rsidRDefault="003D2371" w:rsidP="0039262C">
      <w:pPr>
        <w:pStyle w:val="HRefBody"/>
        <w:rPr>
          <w:lang w:val="en-GB"/>
        </w:rPr>
      </w:pPr>
      <w:r w:rsidRPr="008D59AC">
        <w:rPr>
          <w:lang w:val="en-GB"/>
        </w:rPr>
        <w:t>Lu, H-Y.</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Mande, V. (2014). Does disaggregation of fair value information increase the value relevance of the fair value hierarchy? </w:t>
      </w:r>
      <w:r w:rsidRPr="008D59AC">
        <w:rPr>
          <w:i/>
          <w:lang w:val="en-GB"/>
        </w:rPr>
        <w:t>Research in Accounting Regulation</w:t>
      </w:r>
      <w:r w:rsidRPr="008D59AC">
        <w:rPr>
          <w:lang w:val="en-GB"/>
        </w:rPr>
        <w:t>, 26 (1), 90–97.</w:t>
      </w:r>
    </w:p>
    <w:p w:rsidR="009D7100" w:rsidRPr="008D59AC" w:rsidRDefault="00064EC4" w:rsidP="0039262C">
      <w:pPr>
        <w:pStyle w:val="HRefBody"/>
        <w:rPr>
          <w:lang w:val="en-GB"/>
        </w:rPr>
      </w:pPr>
      <w:r w:rsidRPr="008D59AC">
        <w:rPr>
          <w:lang w:val="en-GB"/>
        </w:rPr>
        <w:t xml:space="preserve">Ohlson, J. (1995). Earnings, Book Values, and Dividends in Equity Valuation. </w:t>
      </w:r>
      <w:r w:rsidRPr="008D59AC">
        <w:rPr>
          <w:i/>
          <w:lang w:val="en-GB"/>
        </w:rPr>
        <w:t>Contemporary Accounting Research</w:t>
      </w:r>
      <w:r w:rsidRPr="008D59AC">
        <w:rPr>
          <w:lang w:val="en-GB"/>
        </w:rPr>
        <w:t>, 11 (2), 661–687.</w:t>
      </w:r>
    </w:p>
    <w:p w:rsidR="00713DDD" w:rsidRPr="008D59AC" w:rsidRDefault="0052034C" w:rsidP="0039262C">
      <w:pPr>
        <w:pStyle w:val="HRefBody"/>
        <w:rPr>
          <w:lang w:val="en-GB"/>
        </w:rPr>
      </w:pPr>
      <w:r w:rsidRPr="008D59AC">
        <w:rPr>
          <w:lang w:val="en-GB"/>
        </w:rPr>
        <w:lastRenderedPageBreak/>
        <w:t>Song, C., Thomas, W.</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Yi, H. (2010). Value Relevance of FAS No. 157 Fair Value Hierarchy Information and the Impact of Corporate Governance Mechanisms. </w:t>
      </w:r>
      <w:r w:rsidRPr="008D59AC">
        <w:rPr>
          <w:i/>
          <w:lang w:val="en-GB"/>
        </w:rPr>
        <w:t>The Accounting Review</w:t>
      </w:r>
      <w:r w:rsidRPr="008D59AC">
        <w:rPr>
          <w:lang w:val="en-GB"/>
        </w:rPr>
        <w:t>, 85 (4), 1375–1410.</w:t>
      </w:r>
    </w:p>
    <w:p w:rsidR="000F743E" w:rsidRPr="008D59AC" w:rsidRDefault="000F743E" w:rsidP="0039262C">
      <w:pPr>
        <w:pStyle w:val="HRefBody"/>
        <w:rPr>
          <w:lang w:val="en-GB"/>
        </w:rPr>
      </w:pPr>
      <w:r w:rsidRPr="008D59AC">
        <w:rPr>
          <w:lang w:val="en-GB"/>
        </w:rPr>
        <w:t xml:space="preserve">Spamann, H. (2010). The “Antidirector Rights Index” Revisited. </w:t>
      </w:r>
      <w:r w:rsidRPr="008D59AC">
        <w:rPr>
          <w:i/>
          <w:lang w:val="en-GB"/>
        </w:rPr>
        <w:t>Review of Financial Studies</w:t>
      </w:r>
      <w:r w:rsidRPr="008D59AC">
        <w:rPr>
          <w:lang w:val="en-GB"/>
        </w:rPr>
        <w:t>, 23 (2), 467–486.</w:t>
      </w:r>
    </w:p>
    <w:p w:rsidR="003B6927" w:rsidRPr="008D59AC" w:rsidRDefault="003B6927" w:rsidP="0039262C">
      <w:pPr>
        <w:pStyle w:val="HRefBody"/>
        <w:rPr>
          <w:lang w:val="en-GB"/>
        </w:rPr>
      </w:pPr>
      <w:r w:rsidRPr="008D59AC">
        <w:rPr>
          <w:lang w:val="en-GB"/>
        </w:rPr>
        <w:t>Tsalavoutas, I., André, P.</w:t>
      </w:r>
      <w:r w:rsidR="004B0FCB" w:rsidRPr="008D59AC">
        <w:rPr>
          <w:lang w:val="en-GB"/>
        </w:rPr>
        <w:t>,</w:t>
      </w:r>
      <w:r w:rsidRPr="008D59AC">
        <w:rPr>
          <w:lang w:val="en-GB"/>
        </w:rPr>
        <w:t xml:space="preserve"> </w:t>
      </w:r>
      <w:r w:rsidR="004B0FCB" w:rsidRPr="008D59AC">
        <w:rPr>
          <w:lang w:val="en-GB"/>
        </w:rPr>
        <w:t>&amp;</w:t>
      </w:r>
      <w:r w:rsidRPr="008D59AC">
        <w:rPr>
          <w:lang w:val="en-GB"/>
        </w:rPr>
        <w:t xml:space="preserve"> Evans, L. (2012). The transition to IFRS and the value relevance of financial statements in Greece. </w:t>
      </w:r>
      <w:r w:rsidRPr="008D59AC">
        <w:rPr>
          <w:i/>
          <w:lang w:val="en-GB"/>
        </w:rPr>
        <w:t>The British Accounting Review</w:t>
      </w:r>
      <w:r w:rsidRPr="008D59AC">
        <w:rPr>
          <w:lang w:val="en-GB"/>
        </w:rPr>
        <w:t>, 44 (4), 262–277.</w:t>
      </w:r>
    </w:p>
    <w:p w:rsidR="000C5512" w:rsidRPr="008D59AC" w:rsidRDefault="000C5512" w:rsidP="000C5512">
      <w:pPr>
        <w:pStyle w:val="HRefBody"/>
        <w:rPr>
          <w:lang w:val="en-GB"/>
        </w:rPr>
      </w:pPr>
      <w:r w:rsidRPr="008D59AC">
        <w:rPr>
          <w:lang w:val="en-GB"/>
        </w:rPr>
        <w:t>Wallison, P. (2008). Fair Value Accounting: A Critique. Financial Services Outlook, American Enterprise Institute for Public Policy Research.</w:t>
      </w:r>
    </w:p>
    <w:p w:rsidR="005D6C64" w:rsidRPr="008D59AC" w:rsidRDefault="005D6C64" w:rsidP="0039262C">
      <w:pPr>
        <w:pStyle w:val="HRefBody"/>
        <w:rPr>
          <w:lang w:val="en-GB"/>
        </w:rPr>
      </w:pPr>
      <w:r w:rsidRPr="00513FBE">
        <w:t>Van der Meulen, S., Gaeremynck, A.</w:t>
      </w:r>
      <w:r w:rsidR="004B0FCB" w:rsidRPr="00513FBE">
        <w:t>,</w:t>
      </w:r>
      <w:r w:rsidRPr="00513FBE">
        <w:t xml:space="preserve"> </w:t>
      </w:r>
      <w:r w:rsidR="004B0FCB" w:rsidRPr="00513FBE">
        <w:t xml:space="preserve">&amp; </w:t>
      </w:r>
      <w:r w:rsidRPr="00513FBE">
        <w:t xml:space="preserve">Willekens, M. (2007). </w:t>
      </w:r>
      <w:r w:rsidRPr="008D59AC">
        <w:rPr>
          <w:lang w:val="en-GB"/>
        </w:rPr>
        <w:t xml:space="preserve">Attribute differences between U.S. GAAP and IFRS earnings: An exploratory study. </w:t>
      </w:r>
      <w:r w:rsidRPr="008D59AC">
        <w:rPr>
          <w:i/>
          <w:lang w:val="en-GB"/>
        </w:rPr>
        <w:t>The International Journal of Accounting</w:t>
      </w:r>
      <w:r w:rsidRPr="008D59AC">
        <w:rPr>
          <w:lang w:val="en-GB"/>
        </w:rPr>
        <w:t>, 42</w:t>
      </w:r>
      <w:r w:rsidR="00FE7275" w:rsidRPr="008D59AC">
        <w:rPr>
          <w:lang w:val="en-GB"/>
        </w:rPr>
        <w:t xml:space="preserve"> (2)</w:t>
      </w:r>
      <w:r w:rsidR="006F32D1" w:rsidRPr="008D59AC">
        <w:rPr>
          <w:lang w:val="en-GB"/>
        </w:rPr>
        <w:t>, 123–142.</w:t>
      </w:r>
    </w:p>
    <w:p w:rsidR="00043E30" w:rsidRPr="008D59AC" w:rsidRDefault="00713DDD" w:rsidP="0039262C">
      <w:pPr>
        <w:pStyle w:val="HRefBody"/>
        <w:rPr>
          <w:lang w:val="en-GB"/>
        </w:rPr>
      </w:pPr>
      <w:r w:rsidRPr="008D59AC">
        <w:rPr>
          <w:lang w:val="en-GB"/>
        </w:rPr>
        <w:t xml:space="preserve">World Economic Forum (2012). The Financial Development Report 2012. </w:t>
      </w:r>
      <w:hyperlink r:id="rId10" w:history="1">
        <w:r w:rsidR="00235B3C" w:rsidRPr="008D59AC">
          <w:rPr>
            <w:rStyle w:val="Hyperlink"/>
            <w:color w:val="auto"/>
            <w:u w:val="none"/>
            <w:lang w:val="en-GB"/>
          </w:rPr>
          <w:t>http://www.weforum.org/reports/financial-development-report-2012</w:t>
        </w:r>
      </w:hyperlink>
      <w:r w:rsidRPr="008D59AC">
        <w:rPr>
          <w:lang w:val="en-GB"/>
        </w:rPr>
        <w:t>.</w:t>
      </w:r>
      <w:bookmarkStart w:id="5" w:name="_Toc341769840"/>
    </w:p>
    <w:p w:rsidR="00537B41" w:rsidRPr="008D59AC" w:rsidRDefault="00537B41" w:rsidP="0039262C">
      <w:pPr>
        <w:pStyle w:val="HRefBody"/>
        <w:rPr>
          <w:lang w:val="en-GB"/>
        </w:rPr>
      </w:pPr>
      <w:r w:rsidRPr="008D59AC">
        <w:rPr>
          <w:lang w:val="en-GB"/>
        </w:rPr>
        <w:br w:type="page"/>
      </w:r>
    </w:p>
    <w:p w:rsidR="00AB2756" w:rsidRPr="008D59AC" w:rsidRDefault="00383CFA" w:rsidP="00886C35">
      <w:pPr>
        <w:spacing w:before="0" w:after="0" w:line="240" w:lineRule="auto"/>
        <w:rPr>
          <w:rFonts w:ascii="Times New Roman" w:hAnsi="Times New Roman"/>
          <w:b/>
          <w:sz w:val="28"/>
          <w:lang w:val="en-GB"/>
        </w:rPr>
      </w:pPr>
      <w:r w:rsidRPr="008D59AC">
        <w:rPr>
          <w:rFonts w:ascii="Times New Roman" w:hAnsi="Times New Roman"/>
          <w:b/>
          <w:sz w:val="28"/>
          <w:lang w:val="en-GB"/>
        </w:rPr>
        <w:lastRenderedPageBreak/>
        <w:t>TABLES:</w:t>
      </w:r>
      <w:bookmarkEnd w:id="5"/>
    </w:p>
    <w:p w:rsidR="003320AC" w:rsidRPr="008D59AC" w:rsidRDefault="003320AC" w:rsidP="00886C35">
      <w:pPr>
        <w:spacing w:before="0" w:after="0" w:line="240" w:lineRule="auto"/>
        <w:rPr>
          <w:rFonts w:ascii="Times New Roman" w:hAnsi="Times New Roman"/>
          <w:b/>
          <w:sz w:val="28"/>
          <w:lang w:val="en-GB"/>
        </w:rPr>
      </w:pPr>
    </w:p>
    <w:p w:rsidR="003320AC" w:rsidRPr="008D59AC" w:rsidRDefault="003320AC" w:rsidP="003320AC">
      <w:pPr>
        <w:pStyle w:val="HTable"/>
        <w:numPr>
          <w:ilvl w:val="0"/>
          <w:numId w:val="0"/>
        </w:numPr>
        <w:ind w:left="907" w:hanging="907"/>
        <w:rPr>
          <w:lang w:val="en-GB"/>
        </w:rPr>
      </w:pPr>
      <w:r w:rsidRPr="008D59AC">
        <w:rPr>
          <w:lang w:val="en-GB"/>
        </w:rPr>
        <w:t xml:space="preserve">Table </w:t>
      </w:r>
      <w:r w:rsidRPr="008D59AC">
        <w:rPr>
          <w:lang w:val="en-GB"/>
        </w:rPr>
        <w:fldChar w:fldCharType="begin"/>
      </w:r>
      <w:r w:rsidRPr="008D59AC">
        <w:rPr>
          <w:lang w:val="en-GB"/>
        </w:rPr>
        <w:instrText xml:space="preserve"> SEQ Table \* ARABIC </w:instrText>
      </w:r>
      <w:r w:rsidRPr="008D59AC">
        <w:rPr>
          <w:lang w:val="en-GB"/>
        </w:rPr>
        <w:fldChar w:fldCharType="separate"/>
      </w:r>
      <w:r w:rsidR="00DC65B9" w:rsidRPr="008D59AC">
        <w:rPr>
          <w:noProof/>
          <w:lang w:val="en-GB"/>
        </w:rPr>
        <w:t>1</w:t>
      </w:r>
      <w:r w:rsidRPr="008D59AC">
        <w:rPr>
          <w:lang w:val="en-GB"/>
        </w:rPr>
        <w:fldChar w:fldCharType="end"/>
      </w:r>
      <w:r w:rsidRPr="008D59AC">
        <w:rPr>
          <w:lang w:val="en-GB"/>
        </w:rPr>
        <w:t xml:space="preserve"> Sample selection process</w:t>
      </w:r>
    </w:p>
    <w:tbl>
      <w:tblPr>
        <w:tblW w:w="7720" w:type="dxa"/>
        <w:tblInd w:w="93" w:type="dxa"/>
        <w:tblLook w:val="04A0" w:firstRow="1" w:lastRow="0" w:firstColumn="1" w:lastColumn="0" w:noHBand="0" w:noVBand="1"/>
      </w:tblPr>
      <w:tblGrid>
        <w:gridCol w:w="1018"/>
        <w:gridCol w:w="960"/>
        <w:gridCol w:w="2080"/>
        <w:gridCol w:w="700"/>
        <w:gridCol w:w="2440"/>
        <w:gridCol w:w="580"/>
      </w:tblGrid>
      <w:tr w:rsidR="00C11C41" w:rsidRPr="008D59AC" w:rsidTr="00C11C41">
        <w:trPr>
          <w:trHeight w:val="581"/>
        </w:trPr>
        <w:tc>
          <w:tcPr>
            <w:tcW w:w="960" w:type="dxa"/>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Category</w:t>
            </w:r>
          </w:p>
        </w:tc>
        <w:tc>
          <w:tcPr>
            <w:tcW w:w="960" w:type="dxa"/>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2080" w:type="dxa"/>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700" w:type="dxa"/>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2440" w:type="dxa"/>
            <w:tcBorders>
              <w:top w:val="single" w:sz="8" w:space="0" w:color="auto"/>
              <w:left w:val="nil"/>
              <w:bottom w:val="single" w:sz="8" w:space="0" w:color="auto"/>
              <w:right w:val="nil"/>
            </w:tcBorders>
            <w:shd w:val="clear" w:color="auto" w:fill="auto"/>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Number of observations</w:t>
            </w:r>
          </w:p>
        </w:tc>
        <w:tc>
          <w:tcPr>
            <w:tcW w:w="580" w:type="dxa"/>
            <w:tcBorders>
              <w:top w:val="single" w:sz="8" w:space="0" w:color="auto"/>
              <w:left w:val="nil"/>
              <w:bottom w:val="single" w:sz="8" w:space="0" w:color="auto"/>
              <w:right w:val="nil"/>
            </w:tcBorders>
            <w:shd w:val="clear" w:color="auto" w:fill="auto"/>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r>
      <w:tr w:rsidR="00C11C41" w:rsidRPr="008D59AC" w:rsidTr="00C11C41">
        <w:trPr>
          <w:trHeight w:val="315"/>
        </w:trPr>
        <w:tc>
          <w:tcPr>
            <w:tcW w:w="4000" w:type="dxa"/>
            <w:gridSpan w:val="3"/>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GICS 4010-4030 firms</w:t>
            </w:r>
          </w:p>
        </w:tc>
        <w:tc>
          <w:tcPr>
            <w:tcW w:w="70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44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1280</w:t>
            </w:r>
          </w:p>
        </w:tc>
        <w:tc>
          <w:tcPr>
            <w:tcW w:w="5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r>
      <w:tr w:rsidR="00C11C41" w:rsidRPr="008D59AC" w:rsidTr="00C11C41">
        <w:trPr>
          <w:trHeight w:val="300"/>
        </w:trPr>
        <w:tc>
          <w:tcPr>
            <w:tcW w:w="960" w:type="dxa"/>
            <w:tcBorders>
              <w:top w:val="nil"/>
              <w:left w:val="nil"/>
              <w:bottom w:val="nil"/>
              <w:right w:val="nil"/>
            </w:tcBorders>
            <w:shd w:val="clear" w:color="auto" w:fill="auto"/>
            <w:noWrap/>
            <w:vAlign w:val="bottom"/>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3740" w:type="dxa"/>
            <w:gridSpan w:val="3"/>
            <w:tcBorders>
              <w:top w:val="single" w:sz="8" w:space="0" w:color="auto"/>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Abnormal fiscal year</w:t>
            </w:r>
          </w:p>
        </w:tc>
        <w:tc>
          <w:tcPr>
            <w:tcW w:w="244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-282</w:t>
            </w:r>
          </w:p>
        </w:tc>
        <w:tc>
          <w:tcPr>
            <w:tcW w:w="58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r>
      <w:tr w:rsidR="00C11C41" w:rsidRPr="008D59AC" w:rsidTr="00C11C41">
        <w:trPr>
          <w:trHeight w:val="300"/>
        </w:trPr>
        <w:tc>
          <w:tcPr>
            <w:tcW w:w="96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3040" w:type="dxa"/>
            <w:gridSpan w:val="2"/>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Micro firms</w:t>
            </w:r>
          </w:p>
        </w:tc>
        <w:tc>
          <w:tcPr>
            <w:tcW w:w="700" w:type="dxa"/>
            <w:tcBorders>
              <w:top w:val="nil"/>
              <w:left w:val="nil"/>
              <w:bottom w:val="nil"/>
              <w:right w:val="nil"/>
            </w:tcBorders>
            <w:shd w:val="clear" w:color="auto" w:fill="auto"/>
            <w:noWrap/>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244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-70</w:t>
            </w:r>
          </w:p>
        </w:tc>
        <w:tc>
          <w:tcPr>
            <w:tcW w:w="58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r>
      <w:tr w:rsidR="00C11C41" w:rsidRPr="008D59AC" w:rsidTr="00C11C41">
        <w:trPr>
          <w:trHeight w:val="300"/>
        </w:trPr>
        <w:tc>
          <w:tcPr>
            <w:tcW w:w="96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3040" w:type="dxa"/>
            <w:gridSpan w:val="2"/>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Abnormal stocks</w:t>
            </w:r>
          </w:p>
        </w:tc>
        <w:tc>
          <w:tcPr>
            <w:tcW w:w="700" w:type="dxa"/>
            <w:tcBorders>
              <w:top w:val="nil"/>
              <w:left w:val="nil"/>
              <w:bottom w:val="nil"/>
              <w:right w:val="nil"/>
            </w:tcBorders>
            <w:shd w:val="clear" w:color="auto" w:fill="auto"/>
            <w:noWrap/>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244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-391</w:t>
            </w:r>
          </w:p>
        </w:tc>
        <w:tc>
          <w:tcPr>
            <w:tcW w:w="58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r>
      <w:tr w:rsidR="00C11C41" w:rsidRPr="008D59AC" w:rsidTr="00C11C41">
        <w:trPr>
          <w:trHeight w:val="315"/>
        </w:trPr>
        <w:tc>
          <w:tcPr>
            <w:tcW w:w="96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040" w:type="dxa"/>
            <w:gridSpan w:val="2"/>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Insufficient data</w:t>
            </w:r>
          </w:p>
        </w:tc>
        <w:tc>
          <w:tcPr>
            <w:tcW w:w="70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44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-182</w:t>
            </w:r>
          </w:p>
        </w:tc>
        <w:tc>
          <w:tcPr>
            <w:tcW w:w="5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C11C41" w:rsidRPr="008D59AC" w:rsidTr="00C11C41">
        <w:trPr>
          <w:trHeight w:val="315"/>
        </w:trPr>
        <w:tc>
          <w:tcPr>
            <w:tcW w:w="4000" w:type="dxa"/>
            <w:gridSpan w:val="3"/>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Unique observations</w:t>
            </w:r>
          </w:p>
        </w:tc>
        <w:tc>
          <w:tcPr>
            <w:tcW w:w="70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244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355</w:t>
            </w:r>
          </w:p>
        </w:tc>
        <w:tc>
          <w:tcPr>
            <w:tcW w:w="5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r>
      <w:tr w:rsidR="00C11C41" w:rsidRPr="008D59AC" w:rsidTr="00C11C41">
        <w:trPr>
          <w:trHeight w:val="300"/>
        </w:trPr>
        <w:tc>
          <w:tcPr>
            <w:tcW w:w="96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3040" w:type="dxa"/>
            <w:gridSpan w:val="2"/>
            <w:tcBorders>
              <w:top w:val="single" w:sz="8" w:space="0" w:color="auto"/>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Time period 2012-2014</w:t>
            </w:r>
          </w:p>
        </w:tc>
        <w:tc>
          <w:tcPr>
            <w:tcW w:w="70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244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1065</w:t>
            </w:r>
          </w:p>
        </w:tc>
        <w:tc>
          <w:tcPr>
            <w:tcW w:w="58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r>
      <w:tr w:rsidR="00C11C41" w:rsidRPr="008D59AC" w:rsidTr="00C11C41">
        <w:trPr>
          <w:trHeight w:val="300"/>
        </w:trPr>
        <w:tc>
          <w:tcPr>
            <w:tcW w:w="960" w:type="dxa"/>
            <w:tcBorders>
              <w:top w:val="nil"/>
              <w:left w:val="nil"/>
              <w:bottom w:val="nil"/>
              <w:right w:val="nil"/>
            </w:tcBorders>
            <w:shd w:val="clear" w:color="auto" w:fill="auto"/>
            <w:noWrap/>
            <w:vAlign w:val="bottom"/>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3040" w:type="dxa"/>
            <w:gridSpan w:val="2"/>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Insufficient data for 2012-2014</w:t>
            </w:r>
          </w:p>
        </w:tc>
        <w:tc>
          <w:tcPr>
            <w:tcW w:w="70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c>
          <w:tcPr>
            <w:tcW w:w="244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w:t>
            </w:r>
          </w:p>
        </w:tc>
        <w:tc>
          <w:tcPr>
            <w:tcW w:w="580" w:type="dxa"/>
            <w:tcBorders>
              <w:top w:val="nil"/>
              <w:left w:val="nil"/>
              <w:bottom w:val="nil"/>
              <w:right w:val="nil"/>
            </w:tcBorders>
            <w:shd w:val="clear" w:color="auto" w:fill="auto"/>
            <w:noWrap/>
            <w:vAlign w:val="center"/>
            <w:hideMark/>
          </w:tcPr>
          <w:p w:rsidR="00C11C41" w:rsidRPr="008D59AC" w:rsidRDefault="00C11C41" w:rsidP="00C11C41">
            <w:pPr>
              <w:spacing w:before="0" w:after="0" w:line="240" w:lineRule="auto"/>
              <w:rPr>
                <w:rFonts w:ascii="Times New Roman" w:hAnsi="Times New Roman"/>
                <w:color w:val="000000"/>
                <w:sz w:val="20"/>
                <w:szCs w:val="20"/>
                <w:lang w:val="en-GB" w:eastAsia="en-US"/>
              </w:rPr>
            </w:pPr>
          </w:p>
        </w:tc>
      </w:tr>
      <w:tr w:rsidR="00C11C41" w:rsidRPr="008D59AC" w:rsidTr="00C11C41">
        <w:trPr>
          <w:trHeight w:val="315"/>
        </w:trPr>
        <w:tc>
          <w:tcPr>
            <w:tcW w:w="96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040" w:type="dxa"/>
            <w:gridSpan w:val="2"/>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Outliers</w:t>
            </w:r>
          </w:p>
        </w:tc>
        <w:tc>
          <w:tcPr>
            <w:tcW w:w="70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44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w:t>
            </w:r>
          </w:p>
        </w:tc>
        <w:tc>
          <w:tcPr>
            <w:tcW w:w="5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r>
      <w:tr w:rsidR="00C11C41" w:rsidRPr="008D59AC" w:rsidTr="00C11C41">
        <w:trPr>
          <w:trHeight w:val="315"/>
        </w:trPr>
        <w:tc>
          <w:tcPr>
            <w:tcW w:w="1920" w:type="dxa"/>
            <w:gridSpan w:val="2"/>
            <w:tcBorders>
              <w:top w:val="single" w:sz="8" w:space="0" w:color="auto"/>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xml:space="preserve">Final sample </w:t>
            </w:r>
          </w:p>
        </w:tc>
        <w:tc>
          <w:tcPr>
            <w:tcW w:w="20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70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244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985</w:t>
            </w:r>
          </w:p>
        </w:tc>
        <w:tc>
          <w:tcPr>
            <w:tcW w:w="580" w:type="dxa"/>
            <w:tcBorders>
              <w:top w:val="nil"/>
              <w:left w:val="nil"/>
              <w:bottom w:val="single" w:sz="8" w:space="0" w:color="auto"/>
              <w:right w:val="nil"/>
            </w:tcBorders>
            <w:shd w:val="clear" w:color="auto" w:fill="auto"/>
            <w:noWrap/>
            <w:vAlign w:val="center"/>
            <w:hideMark/>
          </w:tcPr>
          <w:p w:rsidR="00C11C41" w:rsidRPr="008D59AC" w:rsidRDefault="00C11C41" w:rsidP="00C11C41">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r>
    </w:tbl>
    <w:p w:rsidR="00537B41" w:rsidRPr="008D59AC" w:rsidRDefault="003320AC" w:rsidP="003320AC">
      <w:pPr>
        <w:pStyle w:val="HRefBody"/>
        <w:ind w:left="0" w:firstLine="0"/>
        <w:jc w:val="both"/>
        <w:rPr>
          <w:sz w:val="20"/>
          <w:lang w:val="en-GB"/>
        </w:rPr>
      </w:pPr>
      <w:r w:rsidRPr="008D59AC">
        <w:rPr>
          <w:sz w:val="20"/>
          <w:lang w:val="en-GB"/>
        </w:rPr>
        <w:t xml:space="preserve">Table 1 presents the sample selection process. Abnormal fiscal year is non-December fiscal year end, </w:t>
      </w:r>
      <w:r w:rsidR="00D444EE" w:rsidRPr="008D59AC">
        <w:rPr>
          <w:sz w:val="20"/>
          <w:lang w:val="en-GB"/>
        </w:rPr>
        <w:t>m</w:t>
      </w:r>
      <w:r w:rsidRPr="008D59AC">
        <w:rPr>
          <w:sz w:val="20"/>
          <w:lang w:val="en-GB"/>
        </w:rPr>
        <w:t xml:space="preserve">icro </w:t>
      </w:r>
      <w:r w:rsidR="00DC2DB9" w:rsidRPr="008D59AC">
        <w:rPr>
          <w:sz w:val="20"/>
          <w:lang w:val="en-GB"/>
        </w:rPr>
        <w:t>firms</w:t>
      </w:r>
      <w:r w:rsidRPr="008D59AC">
        <w:rPr>
          <w:sz w:val="20"/>
          <w:lang w:val="en-GB"/>
        </w:rPr>
        <w:t xml:space="preserve"> are </w:t>
      </w:r>
      <w:r w:rsidR="00DC2DB9" w:rsidRPr="008D59AC">
        <w:rPr>
          <w:sz w:val="20"/>
          <w:lang w:val="en-GB"/>
        </w:rPr>
        <w:t>firms</w:t>
      </w:r>
      <w:r w:rsidRPr="008D59AC">
        <w:rPr>
          <w:sz w:val="20"/>
          <w:lang w:val="en-GB"/>
        </w:rPr>
        <w:t xml:space="preserve"> with total assets below 10 million euro. Abnormal stocks are penny stocks and stocks traded less than 25% of the trading days, and insufficient data is </w:t>
      </w:r>
      <w:r w:rsidR="00DC2DB9" w:rsidRPr="008D59AC">
        <w:rPr>
          <w:sz w:val="20"/>
          <w:lang w:val="en-GB"/>
        </w:rPr>
        <w:t>firms</w:t>
      </w:r>
      <w:r w:rsidRPr="008D59AC">
        <w:rPr>
          <w:sz w:val="20"/>
          <w:lang w:val="en-GB"/>
        </w:rPr>
        <w:t xml:space="preserve"> with insufficient data on stock price, assets, or fair values.</w:t>
      </w:r>
    </w:p>
    <w:p w:rsidR="00537B41" w:rsidRPr="008D59AC" w:rsidRDefault="00537B41" w:rsidP="00537B41">
      <w:pPr>
        <w:pStyle w:val="HBodyText"/>
        <w:rPr>
          <w:lang w:val="en-GB"/>
        </w:rPr>
      </w:pPr>
      <w:r w:rsidRPr="008D59AC">
        <w:rPr>
          <w:lang w:val="en-GB"/>
        </w:rPr>
        <w:br w:type="page"/>
      </w:r>
    </w:p>
    <w:p w:rsidR="00BD570B" w:rsidRPr="008D59AC" w:rsidRDefault="00687A1E" w:rsidP="00BD570B">
      <w:pPr>
        <w:pStyle w:val="HTable"/>
        <w:numPr>
          <w:ilvl w:val="0"/>
          <w:numId w:val="0"/>
        </w:numPr>
        <w:ind w:left="907" w:hanging="907"/>
        <w:rPr>
          <w:lang w:val="en-GB"/>
        </w:rPr>
      </w:pPr>
      <w:r w:rsidRPr="008D59AC">
        <w:rPr>
          <w:lang w:val="en-GB"/>
        </w:rPr>
        <w:lastRenderedPageBreak/>
        <w:t>Table 2</w:t>
      </w:r>
      <w:r w:rsidR="00BD570B" w:rsidRPr="008D59AC">
        <w:rPr>
          <w:lang w:val="en-GB"/>
        </w:rPr>
        <w:t xml:space="preserve"> Descriptive statistics</w:t>
      </w:r>
    </w:p>
    <w:tbl>
      <w:tblPr>
        <w:tblW w:w="9846" w:type="dxa"/>
        <w:tblInd w:w="-318" w:type="dxa"/>
        <w:tblLayout w:type="fixed"/>
        <w:tblLook w:val="04A0" w:firstRow="1" w:lastRow="0" w:firstColumn="1" w:lastColumn="0" w:noHBand="0" w:noVBand="1"/>
      </w:tblPr>
      <w:tblGrid>
        <w:gridCol w:w="1081"/>
        <w:gridCol w:w="1202"/>
        <w:gridCol w:w="992"/>
        <w:gridCol w:w="1276"/>
        <w:gridCol w:w="1134"/>
        <w:gridCol w:w="1020"/>
        <w:gridCol w:w="1047"/>
        <w:gridCol w:w="1047"/>
        <w:gridCol w:w="1047"/>
      </w:tblGrid>
      <w:tr w:rsidR="00983B08" w:rsidRPr="00513FBE" w:rsidTr="00983B08">
        <w:trPr>
          <w:trHeight w:val="315"/>
        </w:trPr>
        <w:tc>
          <w:tcPr>
            <w:tcW w:w="4551" w:type="dxa"/>
            <w:gridSpan w:val="4"/>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A: Test variables (per share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r>
      <w:tr w:rsidR="001619B3" w:rsidRPr="008D59AC" w:rsidTr="00983B08">
        <w:trPr>
          <w:trHeight w:val="615"/>
        </w:trPr>
        <w:tc>
          <w:tcPr>
            <w:tcW w:w="1081"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Variable</w:t>
            </w:r>
          </w:p>
        </w:tc>
        <w:tc>
          <w:tcPr>
            <w:tcW w:w="120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Mean</w:t>
            </w:r>
          </w:p>
        </w:tc>
        <w:tc>
          <w:tcPr>
            <w:tcW w:w="99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Median</w:t>
            </w:r>
          </w:p>
        </w:tc>
        <w:tc>
          <w:tcPr>
            <w:tcW w:w="1276"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Maximum</w:t>
            </w:r>
          </w:p>
        </w:tc>
        <w:tc>
          <w:tcPr>
            <w:tcW w:w="1134"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Minimum</w:t>
            </w:r>
          </w:p>
        </w:tc>
        <w:tc>
          <w:tcPr>
            <w:tcW w:w="1020"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Std. Dev.</w:t>
            </w:r>
          </w:p>
        </w:tc>
        <w:tc>
          <w:tcPr>
            <w:tcW w:w="1047"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25th Perc.</w:t>
            </w:r>
          </w:p>
        </w:tc>
        <w:tc>
          <w:tcPr>
            <w:tcW w:w="1047"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75th Perc.</w:t>
            </w:r>
          </w:p>
        </w:tc>
        <w:tc>
          <w:tcPr>
            <w:tcW w:w="1047" w:type="dxa"/>
            <w:tcBorders>
              <w:top w:val="single" w:sz="8" w:space="0" w:color="auto"/>
              <w:left w:val="nil"/>
              <w:bottom w:val="single" w:sz="8" w:space="0" w:color="auto"/>
              <w:right w:val="nil"/>
            </w:tcBorders>
            <w:shd w:val="clear" w:color="auto" w:fill="auto"/>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Non-Zero</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PRICE</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19.98</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9.93</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471.54</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33.43</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3.50</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22.51</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100.00 %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NFVA</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120.67</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22.56</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5140.89</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360.72</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4.79</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108.13</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100.00 %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35.48</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7.00</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2742.84</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120.53</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0.35</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25.31</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89.85 %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33.42</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1.92</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1162.19</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103.48</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0.08</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19.74</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86.09 %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11.49</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0.27</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684.81</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56.13</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2.69</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75.84 %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NFVL</w:t>
            </w:r>
          </w:p>
        </w:tc>
        <w:tc>
          <w:tcPr>
            <w:tcW w:w="120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147.75</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26.18</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4917.30</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407.37</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4.40</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126.60</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99.59 %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25.42</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0.30</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988.83</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92.48</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8.63</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71.27 %</w:t>
            </w:r>
          </w:p>
        </w:tc>
      </w:tr>
      <w:tr w:rsidR="001619B3" w:rsidRPr="008D59AC" w:rsidTr="00983B08">
        <w:trPr>
          <w:trHeight w:val="300"/>
        </w:trPr>
        <w:tc>
          <w:tcPr>
            <w:tcW w:w="1081"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w:t>
            </w:r>
          </w:p>
        </w:tc>
        <w:tc>
          <w:tcPr>
            <w:tcW w:w="120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6.55</w:t>
            </w:r>
          </w:p>
        </w:tc>
        <w:tc>
          <w:tcPr>
            <w:tcW w:w="992"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276"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585.58</w:t>
            </w:r>
          </w:p>
        </w:tc>
        <w:tc>
          <w:tcPr>
            <w:tcW w:w="1134"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20"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44.73</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w:t>
            </w:r>
          </w:p>
        </w:tc>
        <w:tc>
          <w:tcPr>
            <w:tcW w:w="1047" w:type="dxa"/>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0.04</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33.50 %</w:t>
            </w:r>
          </w:p>
        </w:tc>
      </w:tr>
      <w:tr w:rsidR="001619B3" w:rsidRPr="008D59AC" w:rsidTr="00983B08">
        <w:trPr>
          <w:trHeight w:val="315"/>
        </w:trPr>
        <w:tc>
          <w:tcPr>
            <w:tcW w:w="1081"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EPS</w:t>
            </w:r>
          </w:p>
        </w:tc>
        <w:tc>
          <w:tcPr>
            <w:tcW w:w="120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1.52</w:t>
            </w:r>
          </w:p>
        </w:tc>
        <w:tc>
          <w:tcPr>
            <w:tcW w:w="99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0.60</w:t>
            </w:r>
          </w:p>
        </w:tc>
        <w:tc>
          <w:tcPr>
            <w:tcW w:w="1276"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88.87</w:t>
            </w:r>
          </w:p>
        </w:tc>
        <w:tc>
          <w:tcPr>
            <w:tcW w:w="1134"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-21.30</w:t>
            </w:r>
          </w:p>
        </w:tc>
        <w:tc>
          <w:tcPr>
            <w:tcW w:w="1020"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4.80</w:t>
            </w:r>
          </w:p>
        </w:tc>
        <w:tc>
          <w:tcPr>
            <w:tcW w:w="1047"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0.15</w:t>
            </w:r>
          </w:p>
        </w:tc>
        <w:tc>
          <w:tcPr>
            <w:tcW w:w="1047"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1.57</w:t>
            </w:r>
          </w:p>
        </w:tc>
        <w:tc>
          <w:tcPr>
            <w:tcW w:w="1047"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100.00 %</w:t>
            </w:r>
          </w:p>
        </w:tc>
      </w:tr>
      <w:tr w:rsidR="001619B3" w:rsidRPr="008D59AC" w:rsidTr="00983B08">
        <w:trPr>
          <w:trHeight w:val="300"/>
        </w:trPr>
        <w:tc>
          <w:tcPr>
            <w:tcW w:w="1081"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20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r>
      <w:tr w:rsidR="00983B08" w:rsidRPr="00513FBE" w:rsidTr="00983B08">
        <w:trPr>
          <w:trHeight w:val="315"/>
        </w:trPr>
        <w:tc>
          <w:tcPr>
            <w:tcW w:w="4551" w:type="dxa"/>
            <w:gridSpan w:val="4"/>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B: Relative size of variables</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rPr>
                <w:rFonts w:ascii="Times New Roman" w:hAnsi="Times New Roman"/>
                <w:color w:val="000000"/>
                <w:sz w:val="20"/>
                <w:szCs w:val="20"/>
                <w:lang w:val="en-GB" w:eastAsia="en-US"/>
              </w:rPr>
            </w:pPr>
          </w:p>
        </w:tc>
      </w:tr>
      <w:tr w:rsidR="001619B3" w:rsidRPr="008D59AC" w:rsidTr="00983B08">
        <w:trPr>
          <w:trHeight w:val="315"/>
        </w:trPr>
        <w:tc>
          <w:tcPr>
            <w:tcW w:w="1081"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Variable</w:t>
            </w:r>
          </w:p>
        </w:tc>
        <w:tc>
          <w:tcPr>
            <w:tcW w:w="120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9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Mean</w:t>
            </w:r>
          </w:p>
        </w:tc>
        <w:tc>
          <w:tcPr>
            <w:tcW w:w="1276"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Median</w:t>
            </w:r>
          </w:p>
        </w:tc>
        <w:tc>
          <w:tcPr>
            <w:tcW w:w="1134"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Maximum</w:t>
            </w:r>
          </w:p>
        </w:tc>
        <w:tc>
          <w:tcPr>
            <w:tcW w:w="1020"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Minimum</w:t>
            </w:r>
          </w:p>
        </w:tc>
        <w:tc>
          <w:tcPr>
            <w:tcW w:w="1047"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Std. Dev.</w:t>
            </w:r>
          </w:p>
        </w:tc>
        <w:tc>
          <w:tcPr>
            <w:tcW w:w="1047"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25th Perc.</w:t>
            </w:r>
          </w:p>
        </w:tc>
        <w:tc>
          <w:tcPr>
            <w:tcW w:w="1047" w:type="dxa"/>
            <w:tcBorders>
              <w:top w:val="single" w:sz="8" w:space="0" w:color="auto"/>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75th Perc.</w:t>
            </w:r>
          </w:p>
        </w:tc>
      </w:tr>
      <w:tr w:rsidR="001619B3" w:rsidRPr="008D59AC" w:rsidTr="00983B08">
        <w:trPr>
          <w:trHeight w:val="300"/>
        </w:trPr>
        <w:tc>
          <w:tcPr>
            <w:tcW w:w="2283" w:type="dxa"/>
            <w:gridSpan w:val="2"/>
            <w:tcBorders>
              <w:top w:val="single" w:sz="8" w:space="0" w:color="auto"/>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FVA/Total Assets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40.91 %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34.14 %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100.00 %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32.29 %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11.73 %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67.08 %</w:t>
            </w:r>
          </w:p>
        </w:tc>
      </w:tr>
      <w:tr w:rsidR="001619B3" w:rsidRPr="008D59AC" w:rsidTr="00983B08">
        <w:trPr>
          <w:trHeight w:val="300"/>
        </w:trPr>
        <w:tc>
          <w:tcPr>
            <w:tcW w:w="2283" w:type="dxa"/>
            <w:gridSpan w:val="2"/>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FVA1/Total Assets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20.55 %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11.43 %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100.00 %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24.22 %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1.72 %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29.55 %</w:t>
            </w:r>
          </w:p>
        </w:tc>
      </w:tr>
      <w:tr w:rsidR="001619B3" w:rsidRPr="008D59AC" w:rsidTr="00983B08">
        <w:trPr>
          <w:trHeight w:val="300"/>
        </w:trPr>
        <w:tc>
          <w:tcPr>
            <w:tcW w:w="2283" w:type="dxa"/>
            <w:gridSpan w:val="2"/>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FVA2/Total Assets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13.17 %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4.37 %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92.52 %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18.62 %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0.38 %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19.59 %</w:t>
            </w:r>
          </w:p>
        </w:tc>
      </w:tr>
      <w:tr w:rsidR="001619B3" w:rsidRPr="008D59AC" w:rsidTr="00983B08">
        <w:trPr>
          <w:trHeight w:val="300"/>
        </w:trPr>
        <w:tc>
          <w:tcPr>
            <w:tcW w:w="2283" w:type="dxa"/>
            <w:gridSpan w:val="2"/>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FVA3/Total Assets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7.19 %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0.48 %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99.91 %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19.59 %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2.63 %</w:t>
            </w:r>
          </w:p>
        </w:tc>
      </w:tr>
      <w:tr w:rsidR="001619B3" w:rsidRPr="008D59AC" w:rsidTr="00983B08">
        <w:trPr>
          <w:trHeight w:val="300"/>
        </w:trPr>
        <w:tc>
          <w:tcPr>
            <w:tcW w:w="2283" w:type="dxa"/>
            <w:gridSpan w:val="2"/>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FVL/Total Liabilities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14.81 %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1.16 %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99.94 %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27.43 %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13.20 %</w:t>
            </w:r>
          </w:p>
        </w:tc>
      </w:tr>
      <w:tr w:rsidR="001619B3" w:rsidRPr="008D59AC" w:rsidTr="00983B08">
        <w:trPr>
          <w:trHeight w:val="300"/>
        </w:trPr>
        <w:tc>
          <w:tcPr>
            <w:tcW w:w="2283" w:type="dxa"/>
            <w:gridSpan w:val="2"/>
            <w:tcBorders>
              <w:top w:val="nil"/>
              <w:left w:val="nil"/>
              <w:bottom w:val="nil"/>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FVL12/Total Liabilities</w:t>
            </w:r>
          </w:p>
        </w:tc>
        <w:tc>
          <w:tcPr>
            <w:tcW w:w="992"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11.21 %</w:t>
            </w:r>
          </w:p>
        </w:tc>
        <w:tc>
          <w:tcPr>
            <w:tcW w:w="1276"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0.74 %</w:t>
            </w:r>
          </w:p>
        </w:tc>
        <w:tc>
          <w:tcPr>
            <w:tcW w:w="1134"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99.91 %</w:t>
            </w:r>
          </w:p>
        </w:tc>
        <w:tc>
          <w:tcPr>
            <w:tcW w:w="1020"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22.78 %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nil"/>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9.34 %</w:t>
            </w:r>
          </w:p>
        </w:tc>
      </w:tr>
      <w:tr w:rsidR="001619B3" w:rsidRPr="008D59AC" w:rsidTr="00983B08">
        <w:trPr>
          <w:trHeight w:val="315"/>
        </w:trPr>
        <w:tc>
          <w:tcPr>
            <w:tcW w:w="2283" w:type="dxa"/>
            <w:gridSpan w:val="2"/>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FVL3/Total Liabilities</w:t>
            </w:r>
          </w:p>
        </w:tc>
        <w:tc>
          <w:tcPr>
            <w:tcW w:w="992"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3.60 %</w:t>
            </w:r>
          </w:p>
        </w:tc>
        <w:tc>
          <w:tcPr>
            <w:tcW w:w="1276"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134"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99.38 %</w:t>
            </w:r>
          </w:p>
        </w:tc>
        <w:tc>
          <w:tcPr>
            <w:tcW w:w="1020"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15.82 %</w:t>
            </w:r>
          </w:p>
        </w:tc>
        <w:tc>
          <w:tcPr>
            <w:tcW w:w="1047"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0.00 %</w:t>
            </w:r>
          </w:p>
        </w:tc>
        <w:tc>
          <w:tcPr>
            <w:tcW w:w="1047" w:type="dxa"/>
            <w:tcBorders>
              <w:top w:val="nil"/>
              <w:left w:val="nil"/>
              <w:bottom w:val="single" w:sz="8" w:space="0" w:color="auto"/>
              <w:right w:val="nil"/>
            </w:tcBorders>
            <w:shd w:val="clear" w:color="auto" w:fill="auto"/>
            <w:noWrap/>
            <w:vAlign w:val="bottom"/>
            <w:hideMark/>
          </w:tcPr>
          <w:p w:rsidR="001619B3" w:rsidRPr="008D59AC" w:rsidRDefault="001619B3" w:rsidP="001619B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0.06 %</w:t>
            </w:r>
          </w:p>
        </w:tc>
      </w:tr>
      <w:tr w:rsidR="001619B3" w:rsidRPr="008D59AC" w:rsidTr="00983B08">
        <w:trPr>
          <w:trHeight w:val="315"/>
        </w:trPr>
        <w:tc>
          <w:tcPr>
            <w:tcW w:w="1081"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20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92"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276"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134"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20"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47"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47"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47" w:type="dxa"/>
            <w:tcBorders>
              <w:top w:val="nil"/>
              <w:left w:val="nil"/>
              <w:bottom w:val="single" w:sz="8" w:space="0" w:color="auto"/>
              <w:right w:val="nil"/>
            </w:tcBorders>
            <w:shd w:val="clear" w:color="auto" w:fill="auto"/>
            <w:noWrap/>
            <w:vAlign w:val="center"/>
            <w:hideMark/>
          </w:tcPr>
          <w:p w:rsidR="001619B3" w:rsidRPr="008D59AC" w:rsidRDefault="001619B3" w:rsidP="001619B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bl>
    <w:p w:rsidR="001A5AB4" w:rsidRPr="008D59AC" w:rsidRDefault="00687A1E" w:rsidP="001A5AB4">
      <w:pPr>
        <w:pStyle w:val="HRefBody"/>
        <w:ind w:left="0" w:firstLine="0"/>
        <w:jc w:val="both"/>
        <w:rPr>
          <w:sz w:val="20"/>
          <w:lang w:val="en-GB"/>
        </w:rPr>
      </w:pPr>
      <w:r w:rsidRPr="008D59AC">
        <w:rPr>
          <w:sz w:val="20"/>
          <w:lang w:val="en-GB"/>
        </w:rPr>
        <w:t>Panel A of Table 2</w:t>
      </w:r>
      <w:r w:rsidR="001A5AB4" w:rsidRPr="008D59AC">
        <w:rPr>
          <w:sz w:val="20"/>
          <w:lang w:val="en-GB"/>
        </w:rPr>
        <w:t xml:space="preserve"> presents descriptive statistics of the test variables. T</w:t>
      </w:r>
      <w:r w:rsidR="00983B08" w:rsidRPr="008D59AC">
        <w:rPr>
          <w:sz w:val="20"/>
          <w:lang w:val="en-GB"/>
        </w:rPr>
        <w:t>he number of observations is 985</w:t>
      </w:r>
      <w:r w:rsidRPr="008D59AC">
        <w:rPr>
          <w:sz w:val="20"/>
          <w:lang w:val="en-GB"/>
        </w:rPr>
        <w:t>.  Panel B of Table 2</w:t>
      </w:r>
      <w:r w:rsidR="001A5AB4" w:rsidRPr="008D59AC">
        <w:rPr>
          <w:sz w:val="20"/>
          <w:lang w:val="en-GB"/>
        </w:rPr>
        <w:t xml:space="preserve"> presents the relative size of the test variables. </w:t>
      </w:r>
      <w:r w:rsidR="001A5AB4" w:rsidRPr="008D59AC">
        <w:rPr>
          <w:i/>
          <w:sz w:val="20"/>
          <w:lang w:val="en-GB"/>
        </w:rPr>
        <w:t>PRICE</w:t>
      </w:r>
      <w:r w:rsidR="001A5AB4" w:rsidRPr="008D59AC">
        <w:rPr>
          <w:sz w:val="20"/>
          <w:lang w:val="en-GB"/>
        </w:rPr>
        <w:t xml:space="preserve"> is the closing share price of April 30</w:t>
      </w:r>
      <w:r w:rsidR="001A5AB4" w:rsidRPr="008D59AC">
        <w:rPr>
          <w:sz w:val="20"/>
          <w:vertAlign w:val="superscript"/>
          <w:lang w:val="en-GB"/>
        </w:rPr>
        <w:t>th</w:t>
      </w:r>
      <w:r w:rsidR="001A5AB4" w:rsidRPr="008D59AC">
        <w:rPr>
          <w:sz w:val="20"/>
          <w:lang w:val="en-GB"/>
        </w:rPr>
        <w:t xml:space="preserve">. NFVA is the non-fair value assets per share. </w:t>
      </w:r>
      <w:r w:rsidR="001A5AB4" w:rsidRPr="008D59AC">
        <w:rPr>
          <w:i/>
          <w:sz w:val="20"/>
          <w:lang w:val="en-GB"/>
        </w:rPr>
        <w:t>FVA1, FVA2</w:t>
      </w:r>
      <w:r w:rsidR="001A5AB4" w:rsidRPr="008D59AC">
        <w:rPr>
          <w:sz w:val="20"/>
          <w:lang w:val="en-GB"/>
        </w:rPr>
        <w:t xml:space="preserve">, and </w:t>
      </w:r>
      <w:r w:rsidR="001A5AB4" w:rsidRPr="008D59AC">
        <w:rPr>
          <w:i/>
          <w:sz w:val="20"/>
          <w:lang w:val="en-GB"/>
        </w:rPr>
        <w:t>FVA3</w:t>
      </w:r>
      <w:r w:rsidR="001A5AB4" w:rsidRPr="008D59AC">
        <w:rPr>
          <w:sz w:val="20"/>
          <w:lang w:val="en-GB"/>
        </w:rPr>
        <w:t xml:space="preserve"> are fair values of assets per share for every single level of the fair value hierarchy. </w:t>
      </w:r>
      <w:r w:rsidR="001A5AB4" w:rsidRPr="008D59AC">
        <w:rPr>
          <w:i/>
          <w:sz w:val="20"/>
          <w:lang w:val="en-GB"/>
        </w:rPr>
        <w:t>NFVL</w:t>
      </w:r>
      <w:r w:rsidR="001A5AB4" w:rsidRPr="008D59AC">
        <w:rPr>
          <w:sz w:val="20"/>
          <w:lang w:val="en-GB"/>
        </w:rPr>
        <w:t xml:space="preserve"> is the non-fair liabilities per share. </w:t>
      </w:r>
      <w:r w:rsidR="001A5AB4" w:rsidRPr="008D59AC">
        <w:rPr>
          <w:i/>
          <w:sz w:val="20"/>
          <w:lang w:val="en-GB"/>
        </w:rPr>
        <w:t>FVL12</w:t>
      </w:r>
      <w:r w:rsidR="001A5AB4" w:rsidRPr="008D59AC">
        <w:rPr>
          <w:sz w:val="20"/>
          <w:lang w:val="en-GB"/>
        </w:rPr>
        <w:t xml:space="preserve"> is level 1 and 2 liabilities per share combined into one variable. </w:t>
      </w:r>
      <w:r w:rsidR="001A5AB4" w:rsidRPr="008D59AC">
        <w:rPr>
          <w:i/>
          <w:sz w:val="20"/>
          <w:lang w:val="en-GB"/>
        </w:rPr>
        <w:t>FVL3</w:t>
      </w:r>
      <w:r w:rsidR="001A5AB4" w:rsidRPr="008D59AC">
        <w:rPr>
          <w:sz w:val="20"/>
          <w:lang w:val="en-GB"/>
        </w:rPr>
        <w:t xml:space="preserve"> is the level 3 liabilities per share. </w:t>
      </w:r>
      <w:r w:rsidR="001A5AB4" w:rsidRPr="008D59AC">
        <w:rPr>
          <w:i/>
          <w:sz w:val="20"/>
          <w:lang w:val="en-GB"/>
        </w:rPr>
        <w:t>FVA</w:t>
      </w:r>
      <w:r w:rsidR="001A5AB4" w:rsidRPr="008D59AC">
        <w:rPr>
          <w:sz w:val="20"/>
          <w:lang w:val="en-GB"/>
        </w:rPr>
        <w:t xml:space="preserve"> (</w:t>
      </w:r>
      <w:r w:rsidR="001A5AB4" w:rsidRPr="008D59AC">
        <w:rPr>
          <w:i/>
          <w:sz w:val="20"/>
          <w:lang w:val="en-GB"/>
        </w:rPr>
        <w:t>FVL</w:t>
      </w:r>
      <w:r w:rsidR="001A5AB4" w:rsidRPr="008D59AC">
        <w:rPr>
          <w:sz w:val="20"/>
          <w:lang w:val="en-GB"/>
        </w:rPr>
        <w:t xml:space="preserve">) is all fair values assets (liabilities) combined into one variable. </w:t>
      </w:r>
      <w:r w:rsidR="001A5AB4" w:rsidRPr="008D59AC">
        <w:rPr>
          <w:i/>
          <w:sz w:val="20"/>
          <w:lang w:val="en-GB"/>
        </w:rPr>
        <w:t>EPS</w:t>
      </w:r>
      <w:r w:rsidR="001A5AB4" w:rsidRPr="008D59AC">
        <w:rPr>
          <w:sz w:val="20"/>
          <w:lang w:val="en-GB"/>
        </w:rPr>
        <w:t xml:space="preserve"> is the earnings per share excluding extraordinary items. Non-Zero indicates the percent of observations that do not report zero for the specific variable.</w:t>
      </w: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1B58B4" w:rsidRPr="008D59AC" w:rsidRDefault="001B58B4" w:rsidP="001A5AB4">
      <w:pPr>
        <w:pStyle w:val="HRefBody"/>
        <w:ind w:left="0" w:firstLine="0"/>
        <w:jc w:val="both"/>
        <w:rPr>
          <w:sz w:val="20"/>
          <w:lang w:val="en-GB"/>
        </w:rPr>
      </w:pPr>
    </w:p>
    <w:p w:rsidR="000E5569" w:rsidRPr="008D59AC" w:rsidRDefault="000E5569" w:rsidP="00F4086D">
      <w:pPr>
        <w:pStyle w:val="HRefBody"/>
        <w:ind w:left="0" w:firstLine="0"/>
        <w:jc w:val="both"/>
        <w:rPr>
          <w:sz w:val="20"/>
          <w:lang w:val="en-GB"/>
        </w:rPr>
      </w:pPr>
    </w:p>
    <w:p w:rsidR="0045470D" w:rsidRPr="008D59AC" w:rsidRDefault="00687A1E" w:rsidP="0045470D">
      <w:pPr>
        <w:pStyle w:val="HTable"/>
        <w:numPr>
          <w:ilvl w:val="0"/>
          <w:numId w:val="0"/>
        </w:numPr>
        <w:ind w:left="907" w:hanging="907"/>
        <w:rPr>
          <w:lang w:val="en-GB"/>
        </w:rPr>
      </w:pPr>
      <w:r w:rsidRPr="008D59AC">
        <w:rPr>
          <w:lang w:val="en-GB"/>
        </w:rPr>
        <w:lastRenderedPageBreak/>
        <w:t>Table 3</w:t>
      </w:r>
      <w:r w:rsidR="0045470D" w:rsidRPr="008D59AC">
        <w:rPr>
          <w:lang w:val="en-GB"/>
        </w:rPr>
        <w:t xml:space="preserve"> Investor protection variables</w:t>
      </w:r>
      <w:r w:rsidR="00C62980" w:rsidRPr="008D59AC">
        <w:rPr>
          <w:lang w:val="en-GB"/>
        </w:rPr>
        <w:t xml:space="preserve"> per country</w:t>
      </w:r>
    </w:p>
    <w:tbl>
      <w:tblPr>
        <w:tblW w:w="9244" w:type="dxa"/>
        <w:tblInd w:w="93" w:type="dxa"/>
        <w:tblLayout w:type="fixed"/>
        <w:tblLook w:val="04A0" w:firstRow="1" w:lastRow="0" w:firstColumn="1" w:lastColumn="0" w:noHBand="0" w:noVBand="1"/>
      </w:tblPr>
      <w:tblGrid>
        <w:gridCol w:w="1316"/>
        <w:gridCol w:w="826"/>
        <w:gridCol w:w="814"/>
        <w:gridCol w:w="1170"/>
        <w:gridCol w:w="1276"/>
        <w:gridCol w:w="1238"/>
        <w:gridCol w:w="939"/>
        <w:gridCol w:w="698"/>
        <w:gridCol w:w="967"/>
      </w:tblGrid>
      <w:tr w:rsidR="00E80CB0" w:rsidRPr="008D59AC" w:rsidTr="00E80CB0">
        <w:trPr>
          <w:trHeight w:val="915"/>
        </w:trPr>
        <w:tc>
          <w:tcPr>
            <w:tcW w:w="1316"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Country</w:t>
            </w:r>
          </w:p>
        </w:tc>
        <w:tc>
          <w:tcPr>
            <w:tcW w:w="826"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n</w:t>
            </w:r>
          </w:p>
        </w:tc>
        <w:tc>
          <w:tcPr>
            <w:tcW w:w="814"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Board ind.</w:t>
            </w:r>
          </w:p>
        </w:tc>
        <w:tc>
          <w:tcPr>
            <w:tcW w:w="1170"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Law enforce-ment</w:t>
            </w:r>
          </w:p>
        </w:tc>
        <w:tc>
          <w:tcPr>
            <w:tcW w:w="1276"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Minority protection</w:t>
            </w:r>
          </w:p>
        </w:tc>
        <w:tc>
          <w:tcPr>
            <w:tcW w:w="1238"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Standards enforce.</w:t>
            </w:r>
          </w:p>
        </w:tc>
        <w:tc>
          <w:tcPr>
            <w:tcW w:w="939"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Judicial ind.</w:t>
            </w:r>
          </w:p>
        </w:tc>
        <w:tc>
          <w:tcPr>
            <w:tcW w:w="698"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Press</w:t>
            </w:r>
          </w:p>
        </w:tc>
        <w:tc>
          <w:tcPr>
            <w:tcW w:w="967" w:type="dxa"/>
            <w:tcBorders>
              <w:top w:val="single" w:sz="8" w:space="0" w:color="auto"/>
              <w:left w:val="nil"/>
              <w:bottom w:val="single" w:sz="8" w:space="0" w:color="auto"/>
              <w:right w:val="nil"/>
            </w:tcBorders>
            <w:shd w:val="clear" w:color="auto" w:fill="auto"/>
            <w:vAlign w:val="center"/>
            <w:hideMark/>
          </w:tcPr>
          <w:p w:rsidR="00E80CB0" w:rsidRPr="008D59AC" w:rsidRDefault="00E80CB0" w:rsidP="00E80CB0">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Average</w:t>
            </w:r>
          </w:p>
        </w:tc>
      </w:tr>
      <w:tr w:rsidR="00E80CB0" w:rsidRPr="008D59AC" w:rsidTr="00E80CB0">
        <w:trPr>
          <w:trHeight w:val="315"/>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Australia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5.61</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5.10</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6.00</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1.50</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5.01</w:t>
            </w:r>
          </w:p>
        </w:tc>
      </w:tr>
      <w:tr w:rsidR="00E80CB0" w:rsidRPr="008D59AC" w:rsidTr="00E80CB0">
        <w:trPr>
          <w:trHeight w:val="315"/>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Austria</w:t>
            </w:r>
          </w:p>
        </w:tc>
        <w:tc>
          <w:tcPr>
            <w:tcW w:w="82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w:t>
            </w:r>
            <w:r w:rsidR="00D22E1E" w:rsidRPr="008D59AC">
              <w:rPr>
                <w:rFonts w:ascii="Calibri" w:hAnsi="Calibri"/>
                <w:color w:val="000000"/>
                <w:szCs w:val="22"/>
                <w:lang w:val="en-GB" w:eastAsia="en-US"/>
              </w:rPr>
              <w:t>9</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4.67</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5.08</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5.66</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1.46</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4.54</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Bahrain</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5.01</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5.46</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6.01</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5.07</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4.29</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Belgium</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5.16</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4.93</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5.56</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5.23</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1.35</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4.54</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Brazil</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28</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4.87</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5.79</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4.74</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5.11</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3.75</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0.43</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4.12</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Canada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94</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5.52</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5.43</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5.45</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6.30</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1.45</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5.04</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Chile</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4.87</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3.87</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5.03</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5.32</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1.04</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4.10</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Denmark</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5.34</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5.37</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6.02</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1.69</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4.78</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Finland</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6.13</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6.06</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6.49</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1.62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5.33</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France</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5.16</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4.64</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5.26</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4.91</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4.38</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Germany</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68</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4.81</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4.94</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5.48</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6.24</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1.38</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4.67</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Ghana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4.41</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4.55</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4.44</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4.43</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4.05</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0.41</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3.72</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Greece</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3.85</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3.87</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4.28</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4.39</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3.06</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0.65</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3.35</w:t>
            </w:r>
          </w:p>
        </w:tc>
      </w:tr>
      <w:tr w:rsidR="00E80CB0" w:rsidRPr="008D59AC" w:rsidTr="00E80CB0">
        <w:trPr>
          <w:trHeight w:val="315"/>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Hungary</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4.26</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4.79</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3.97</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5.08</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3.70</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3.75</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Ireland</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4.84</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4.01</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4.70</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4.63</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6.33</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4.31</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Italy</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69</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3.80</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3.53</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3.77</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0.89</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3.37</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Jordan</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17</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4.46</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4.82</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4.96</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4.39</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-0.73</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3.69</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Kenya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12</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4.39</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3.95</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4.42</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3.41</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-0.30</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3.35</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Kuwait</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3.85</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3.82</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3.87</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4.72</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4.91</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-0.62</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3.43</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Morocco</w:t>
            </w:r>
          </w:p>
        </w:tc>
        <w:tc>
          <w:tcPr>
            <w:tcW w:w="82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4.77</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3.50</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-0.61</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3.55</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Netherlands</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5.42</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5.48</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5.36</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6.44</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1.63</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5.06</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Norway</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20</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5.57</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5.83</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5.77</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5.93</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6.24</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1.75</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5.18</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Poland</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4.39</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5.02</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3.95</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4.25</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1.06</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3.98</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Portugal</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4.19</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4.71</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4.31</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3.87</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0.99</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3.82</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Russia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3.04</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2.56</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-0.96</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2.62</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Slovakia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4.48</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3.89</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4.35</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2.67</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0.96</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3.36</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South Africa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25</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5.84</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6.50</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5.99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6.57</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5.29</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0.56</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5.13</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South Korea</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3.98</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3.95</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3.70</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4.45</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3.68</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0.69</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3.41</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Spain</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4.18</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3.74</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4.21</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4.61</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4.01</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1.04</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3.63</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Sweden</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5.55</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5.57</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5.63</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5.94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6.21</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1.71</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5.10</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Switzerland</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63</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5.61</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4.80</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5.54</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6.28</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1.67</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4.91</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Turkey</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4.16</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4.68</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3.46</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-0.24</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3.58</w:t>
            </w:r>
          </w:p>
        </w:tc>
      </w:tr>
      <w:tr w:rsidR="00E80CB0" w:rsidRPr="008D59AC" w:rsidTr="00E80CB0">
        <w:trPr>
          <w:trHeight w:val="300"/>
        </w:trPr>
        <w:tc>
          <w:tcPr>
            <w:tcW w:w="131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UAE</w:t>
            </w:r>
          </w:p>
        </w:tc>
        <w:tc>
          <w:tcPr>
            <w:tcW w:w="826" w:type="dxa"/>
            <w:tcBorders>
              <w:top w:val="nil"/>
              <w:left w:val="nil"/>
              <w:bottom w:val="nil"/>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w:t>
            </w:r>
          </w:p>
        </w:tc>
        <w:tc>
          <w:tcPr>
            <w:tcW w:w="814"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5.13</w:t>
            </w:r>
          </w:p>
        </w:tc>
        <w:tc>
          <w:tcPr>
            <w:tcW w:w="1170"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5.19</w:t>
            </w:r>
          </w:p>
        </w:tc>
        <w:tc>
          <w:tcPr>
            <w:tcW w:w="1276"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4.99</w:t>
            </w:r>
          </w:p>
        </w:tc>
        <w:tc>
          <w:tcPr>
            <w:tcW w:w="123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5.40</w:t>
            </w:r>
          </w:p>
        </w:tc>
        <w:tc>
          <w:tcPr>
            <w:tcW w:w="939"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5.39</w:t>
            </w:r>
          </w:p>
        </w:tc>
        <w:tc>
          <w:tcPr>
            <w:tcW w:w="698"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-1.00</w:t>
            </w:r>
          </w:p>
        </w:tc>
        <w:tc>
          <w:tcPr>
            <w:tcW w:w="967" w:type="dxa"/>
            <w:tcBorders>
              <w:top w:val="nil"/>
              <w:left w:val="nil"/>
              <w:bottom w:val="nil"/>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4.18</w:t>
            </w:r>
          </w:p>
        </w:tc>
      </w:tr>
      <w:tr w:rsidR="00E80CB0" w:rsidRPr="008D59AC" w:rsidTr="00E80CB0">
        <w:trPr>
          <w:trHeight w:val="315"/>
        </w:trPr>
        <w:tc>
          <w:tcPr>
            <w:tcW w:w="1316"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UK</w:t>
            </w:r>
          </w:p>
        </w:tc>
        <w:tc>
          <w:tcPr>
            <w:tcW w:w="826" w:type="dxa"/>
            <w:tcBorders>
              <w:top w:val="nil"/>
              <w:left w:val="nil"/>
              <w:bottom w:val="single" w:sz="8" w:space="0" w:color="auto"/>
              <w:right w:val="nil"/>
            </w:tcBorders>
            <w:shd w:val="clear" w:color="auto" w:fill="auto"/>
            <w:noWrap/>
            <w:vAlign w:val="center"/>
            <w:hideMark/>
          </w:tcPr>
          <w:p w:rsidR="00E80CB0" w:rsidRPr="008D59AC" w:rsidRDefault="00D22E1E"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103</w:t>
            </w:r>
          </w:p>
        </w:tc>
        <w:tc>
          <w:tcPr>
            <w:tcW w:w="814"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5.25</w:t>
            </w:r>
          </w:p>
        </w:tc>
        <w:tc>
          <w:tcPr>
            <w:tcW w:w="1170"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5.18</w:t>
            </w:r>
          </w:p>
        </w:tc>
        <w:tc>
          <w:tcPr>
            <w:tcW w:w="1276"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5.21</w:t>
            </w:r>
          </w:p>
        </w:tc>
        <w:tc>
          <w:tcPr>
            <w:tcW w:w="1238"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5.88</w:t>
            </w:r>
          </w:p>
        </w:tc>
        <w:tc>
          <w:tcPr>
            <w:tcW w:w="939"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6.19</w:t>
            </w:r>
          </w:p>
        </w:tc>
        <w:tc>
          <w:tcPr>
            <w:tcW w:w="698"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1.32</w:t>
            </w:r>
          </w:p>
        </w:tc>
        <w:tc>
          <w:tcPr>
            <w:tcW w:w="967" w:type="dxa"/>
            <w:tcBorders>
              <w:top w:val="nil"/>
              <w:left w:val="nil"/>
              <w:bottom w:val="single" w:sz="8" w:space="0" w:color="auto"/>
              <w:right w:val="nil"/>
            </w:tcBorders>
            <w:shd w:val="clear" w:color="auto" w:fill="auto"/>
            <w:noWrap/>
            <w:vAlign w:val="center"/>
            <w:hideMark/>
          </w:tcPr>
          <w:p w:rsidR="00E80CB0" w:rsidRPr="008D59AC" w:rsidRDefault="00E80CB0" w:rsidP="00E80CB0">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4.84</w:t>
            </w:r>
          </w:p>
        </w:tc>
      </w:tr>
    </w:tbl>
    <w:p w:rsidR="0045470D" w:rsidRPr="008D59AC" w:rsidRDefault="00687A1E" w:rsidP="00320042">
      <w:pPr>
        <w:pStyle w:val="HRefBody"/>
        <w:ind w:left="0" w:firstLine="0"/>
        <w:rPr>
          <w:sz w:val="20"/>
          <w:lang w:val="en-GB"/>
        </w:rPr>
      </w:pPr>
      <w:r w:rsidRPr="008D59AC">
        <w:rPr>
          <w:sz w:val="20"/>
          <w:lang w:val="en-GB"/>
        </w:rPr>
        <w:t>Table 3</w:t>
      </w:r>
      <w:r w:rsidR="00C62980" w:rsidRPr="008D59AC">
        <w:rPr>
          <w:sz w:val="20"/>
          <w:lang w:val="en-GB"/>
        </w:rPr>
        <w:t xml:space="preserve"> presents the investor protection variables for every individual country in</w:t>
      </w:r>
      <w:r w:rsidR="000171D4" w:rsidRPr="008D59AC">
        <w:rPr>
          <w:sz w:val="20"/>
          <w:lang w:val="en-GB"/>
        </w:rPr>
        <w:t>cluded in</w:t>
      </w:r>
      <w:r w:rsidR="00C62980" w:rsidRPr="008D59AC">
        <w:rPr>
          <w:sz w:val="20"/>
          <w:lang w:val="en-GB"/>
        </w:rPr>
        <w:t xml:space="preserve"> the sam</w:t>
      </w:r>
      <w:r w:rsidRPr="008D59AC">
        <w:rPr>
          <w:sz w:val="20"/>
          <w:lang w:val="en-GB"/>
        </w:rPr>
        <w:t>ple. The final column of Table 3</w:t>
      </w:r>
      <w:r w:rsidR="00C62980" w:rsidRPr="008D59AC">
        <w:rPr>
          <w:sz w:val="20"/>
          <w:lang w:val="en-GB"/>
        </w:rPr>
        <w:t xml:space="preserve"> presents the </w:t>
      </w:r>
      <w:r w:rsidR="001619B3" w:rsidRPr="008D59AC">
        <w:rPr>
          <w:sz w:val="20"/>
          <w:lang w:val="en-GB"/>
        </w:rPr>
        <w:t>average of the six investor protection variables</w:t>
      </w:r>
      <w:r w:rsidR="00C62980" w:rsidRPr="008D59AC">
        <w:rPr>
          <w:sz w:val="20"/>
          <w:lang w:val="en-GB"/>
        </w:rPr>
        <w:t xml:space="preserve">. </w:t>
      </w:r>
    </w:p>
    <w:p w:rsidR="001B58B4" w:rsidRPr="008D59AC" w:rsidRDefault="001B58B4" w:rsidP="00320042">
      <w:pPr>
        <w:pStyle w:val="HRefBody"/>
        <w:ind w:left="0" w:firstLine="0"/>
        <w:rPr>
          <w:sz w:val="20"/>
          <w:lang w:val="en-GB"/>
        </w:rPr>
      </w:pPr>
    </w:p>
    <w:p w:rsidR="001B58B4" w:rsidRPr="008D59AC" w:rsidRDefault="001B58B4" w:rsidP="00320042">
      <w:pPr>
        <w:pStyle w:val="HRefBody"/>
        <w:ind w:left="0" w:firstLine="0"/>
        <w:rPr>
          <w:sz w:val="20"/>
          <w:lang w:val="en-GB"/>
        </w:rPr>
      </w:pPr>
    </w:p>
    <w:p w:rsidR="001B58B4" w:rsidRPr="008D59AC" w:rsidRDefault="001B58B4" w:rsidP="00320042">
      <w:pPr>
        <w:pStyle w:val="HRefBody"/>
        <w:ind w:left="0" w:firstLine="0"/>
        <w:rPr>
          <w:sz w:val="20"/>
          <w:lang w:val="en-GB"/>
        </w:rPr>
      </w:pPr>
    </w:p>
    <w:p w:rsidR="000E5569" w:rsidRPr="008D59AC" w:rsidRDefault="000E5569" w:rsidP="00320042">
      <w:pPr>
        <w:pStyle w:val="HRefBody"/>
        <w:ind w:left="0" w:firstLine="0"/>
        <w:rPr>
          <w:sz w:val="20"/>
          <w:lang w:val="en-GB"/>
        </w:rPr>
      </w:pPr>
    </w:p>
    <w:p w:rsidR="005C4F53" w:rsidRPr="008D59AC" w:rsidRDefault="00687A1E" w:rsidP="005C4F53">
      <w:pPr>
        <w:pStyle w:val="HTable"/>
        <w:numPr>
          <w:ilvl w:val="0"/>
          <w:numId w:val="0"/>
        </w:numPr>
        <w:ind w:left="907" w:hanging="907"/>
        <w:rPr>
          <w:lang w:val="en-GB"/>
        </w:rPr>
      </w:pPr>
      <w:r w:rsidRPr="008D59AC">
        <w:rPr>
          <w:lang w:val="en-GB"/>
        </w:rPr>
        <w:lastRenderedPageBreak/>
        <w:t>Table 4</w:t>
      </w:r>
      <w:r w:rsidR="005C4F53" w:rsidRPr="008D59AC">
        <w:rPr>
          <w:lang w:val="en-GB"/>
        </w:rPr>
        <w:t xml:space="preserve"> </w:t>
      </w:r>
      <w:r w:rsidR="001A1D7D" w:rsidRPr="008D59AC">
        <w:rPr>
          <w:lang w:val="en-GB"/>
        </w:rPr>
        <w:t>Investor protection variables</w:t>
      </w:r>
      <w:r w:rsidR="005C4F53" w:rsidRPr="008D59AC">
        <w:rPr>
          <w:lang w:val="en-GB"/>
        </w:rPr>
        <w:tab/>
      </w:r>
    </w:p>
    <w:tbl>
      <w:tblPr>
        <w:tblW w:w="8849" w:type="dxa"/>
        <w:tblInd w:w="93" w:type="dxa"/>
        <w:tblLook w:val="04A0" w:firstRow="1" w:lastRow="0" w:firstColumn="1" w:lastColumn="0" w:noHBand="0" w:noVBand="1"/>
      </w:tblPr>
      <w:tblGrid>
        <w:gridCol w:w="1798"/>
        <w:gridCol w:w="911"/>
        <w:gridCol w:w="1001"/>
        <w:gridCol w:w="1148"/>
        <w:gridCol w:w="1111"/>
        <w:gridCol w:w="960"/>
        <w:gridCol w:w="960"/>
        <w:gridCol w:w="960"/>
      </w:tblGrid>
      <w:tr w:rsidR="005C4F53" w:rsidRPr="008D59AC" w:rsidTr="00AF7A44">
        <w:trPr>
          <w:trHeight w:val="315"/>
        </w:trPr>
        <w:tc>
          <w:tcPr>
            <w:tcW w:w="3710" w:type="dxa"/>
            <w:gridSpan w:val="3"/>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A: Descriptive statistics</w:t>
            </w:r>
          </w:p>
        </w:tc>
        <w:tc>
          <w:tcPr>
            <w:tcW w:w="1148"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1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r>
      <w:tr w:rsidR="005C4F53" w:rsidRPr="008D59AC" w:rsidTr="00AF7A44">
        <w:trPr>
          <w:trHeight w:val="315"/>
        </w:trPr>
        <w:tc>
          <w:tcPr>
            <w:tcW w:w="1798"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Variable</w:t>
            </w:r>
          </w:p>
        </w:tc>
        <w:tc>
          <w:tcPr>
            <w:tcW w:w="91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Mean</w:t>
            </w:r>
          </w:p>
        </w:tc>
        <w:tc>
          <w:tcPr>
            <w:tcW w:w="100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Median</w:t>
            </w:r>
          </w:p>
        </w:tc>
        <w:tc>
          <w:tcPr>
            <w:tcW w:w="1148"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Maximum</w:t>
            </w:r>
          </w:p>
        </w:tc>
        <w:tc>
          <w:tcPr>
            <w:tcW w:w="1111"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Minimum</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xml:space="preserve"> Std. Dev.</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25th Perc.</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75th Perc.</w:t>
            </w:r>
          </w:p>
        </w:tc>
      </w:tr>
      <w:tr w:rsidR="005C4F53" w:rsidRPr="008D59AC" w:rsidTr="00AF7A44">
        <w:trPr>
          <w:trHeight w:val="6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Board independence</w:t>
            </w:r>
          </w:p>
        </w:tc>
        <w:tc>
          <w:tcPr>
            <w:tcW w:w="9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81</w:t>
            </w:r>
          </w:p>
        </w:tc>
        <w:tc>
          <w:tcPr>
            <w:tcW w:w="100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87</w:t>
            </w:r>
          </w:p>
        </w:tc>
        <w:tc>
          <w:tcPr>
            <w:tcW w:w="1148"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84</w:t>
            </w:r>
          </w:p>
        </w:tc>
        <w:tc>
          <w:tcPr>
            <w:tcW w:w="11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r w:rsidR="005C4F53" w:rsidRPr="008D59AC">
              <w:rPr>
                <w:rFonts w:ascii="Calibri" w:hAnsi="Calibri"/>
                <w:color w:val="000000"/>
                <w:szCs w:val="22"/>
                <w:lang w:val="en-GB" w:eastAsia="en-US"/>
              </w:rPr>
              <w:t>80</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61</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23</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36</w:t>
            </w:r>
          </w:p>
        </w:tc>
      </w:tr>
      <w:tr w:rsidR="005C4F53" w:rsidRPr="008D59AC" w:rsidTr="00AF7A44">
        <w:trPr>
          <w:trHeight w:val="6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Law enforcement</w:t>
            </w:r>
          </w:p>
        </w:tc>
        <w:tc>
          <w:tcPr>
            <w:tcW w:w="9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86</w:t>
            </w:r>
          </w:p>
        </w:tc>
        <w:tc>
          <w:tcPr>
            <w:tcW w:w="100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91</w:t>
            </w:r>
          </w:p>
        </w:tc>
        <w:tc>
          <w:tcPr>
            <w:tcW w:w="1148"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r w:rsidR="005C4F53" w:rsidRPr="008D59AC">
              <w:rPr>
                <w:rFonts w:ascii="Calibri" w:hAnsi="Calibri"/>
                <w:color w:val="000000"/>
                <w:szCs w:val="22"/>
                <w:lang w:val="en-GB" w:eastAsia="en-US"/>
              </w:rPr>
              <w:t>50</w:t>
            </w:r>
          </w:p>
        </w:tc>
        <w:tc>
          <w:tcPr>
            <w:tcW w:w="11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r w:rsidR="005C4F53" w:rsidRPr="008D59AC">
              <w:rPr>
                <w:rFonts w:ascii="Calibri" w:hAnsi="Calibri"/>
                <w:color w:val="000000"/>
                <w:szCs w:val="22"/>
                <w:lang w:val="en-GB" w:eastAsia="en-US"/>
              </w:rPr>
              <w:t>40</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77</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08</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49</w:t>
            </w:r>
          </w:p>
        </w:tc>
      </w:tr>
      <w:tr w:rsidR="005C4F53" w:rsidRPr="008D59AC" w:rsidTr="00AF7A44">
        <w:trPr>
          <w:trHeight w:val="6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Minority protection</w:t>
            </w:r>
          </w:p>
        </w:tc>
        <w:tc>
          <w:tcPr>
            <w:tcW w:w="9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67</w:t>
            </w:r>
          </w:p>
        </w:tc>
        <w:tc>
          <w:tcPr>
            <w:tcW w:w="100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72</w:t>
            </w:r>
          </w:p>
        </w:tc>
        <w:tc>
          <w:tcPr>
            <w:tcW w:w="1148"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r w:rsidR="005C4F53" w:rsidRPr="008D59AC">
              <w:rPr>
                <w:rFonts w:ascii="Calibri" w:hAnsi="Calibri"/>
                <w:color w:val="000000"/>
                <w:szCs w:val="22"/>
                <w:lang w:val="en-GB" w:eastAsia="en-US"/>
              </w:rPr>
              <w:t>06</w:t>
            </w:r>
          </w:p>
        </w:tc>
        <w:tc>
          <w:tcPr>
            <w:tcW w:w="11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r w:rsidR="005C4F53" w:rsidRPr="008D59AC">
              <w:rPr>
                <w:rFonts w:ascii="Calibri" w:hAnsi="Calibri"/>
                <w:color w:val="000000"/>
                <w:szCs w:val="22"/>
                <w:lang w:val="en-GB" w:eastAsia="en-US"/>
              </w:rPr>
              <w:t>04</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71</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11</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13</w:t>
            </w:r>
          </w:p>
        </w:tc>
      </w:tr>
      <w:tr w:rsidR="005C4F53" w:rsidRPr="008D59AC" w:rsidTr="00AF7A44">
        <w:trPr>
          <w:trHeight w:val="6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Standards enforcement</w:t>
            </w:r>
          </w:p>
        </w:tc>
        <w:tc>
          <w:tcPr>
            <w:tcW w:w="9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18</w:t>
            </w:r>
          </w:p>
        </w:tc>
        <w:tc>
          <w:tcPr>
            <w:tcW w:w="100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15</w:t>
            </w:r>
          </w:p>
        </w:tc>
        <w:tc>
          <w:tcPr>
            <w:tcW w:w="1148"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r w:rsidR="005C4F53" w:rsidRPr="008D59AC">
              <w:rPr>
                <w:rFonts w:ascii="Calibri" w:hAnsi="Calibri"/>
                <w:color w:val="000000"/>
                <w:szCs w:val="22"/>
                <w:lang w:val="en-GB" w:eastAsia="en-US"/>
              </w:rPr>
              <w:t>57</w:t>
            </w:r>
          </w:p>
        </w:tc>
        <w:tc>
          <w:tcPr>
            <w:tcW w:w="11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r w:rsidR="005C4F53" w:rsidRPr="008D59AC">
              <w:rPr>
                <w:rFonts w:ascii="Calibri" w:hAnsi="Calibri"/>
                <w:color w:val="000000"/>
                <w:szCs w:val="22"/>
                <w:lang w:val="en-GB" w:eastAsia="en-US"/>
              </w:rPr>
              <w:t>77</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69</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57</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w:t>
            </w:r>
            <w:r w:rsidR="005C4F53" w:rsidRPr="008D59AC">
              <w:rPr>
                <w:rFonts w:ascii="Calibri" w:hAnsi="Calibri"/>
                <w:color w:val="000000"/>
                <w:szCs w:val="22"/>
                <w:lang w:val="en-GB" w:eastAsia="en-US"/>
              </w:rPr>
              <w:t>89</w:t>
            </w:r>
          </w:p>
        </w:tc>
      </w:tr>
      <w:tr w:rsidR="005C4F53" w:rsidRPr="008D59AC" w:rsidTr="00AF7A44">
        <w:trPr>
          <w:trHeight w:val="6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Judicial independence</w:t>
            </w:r>
          </w:p>
        </w:tc>
        <w:tc>
          <w:tcPr>
            <w:tcW w:w="9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83</w:t>
            </w:r>
          </w:p>
        </w:tc>
        <w:tc>
          <w:tcPr>
            <w:tcW w:w="100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w:t>
            </w:r>
            <w:r w:rsidR="005C4F53" w:rsidRPr="008D59AC">
              <w:rPr>
                <w:rFonts w:ascii="Calibri" w:hAnsi="Calibri"/>
                <w:color w:val="000000"/>
                <w:szCs w:val="22"/>
                <w:lang w:val="en-GB" w:eastAsia="en-US"/>
              </w:rPr>
              <w:t>99</w:t>
            </w:r>
          </w:p>
        </w:tc>
        <w:tc>
          <w:tcPr>
            <w:tcW w:w="1148"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r w:rsidR="005C4F53" w:rsidRPr="008D59AC">
              <w:rPr>
                <w:rFonts w:ascii="Calibri" w:hAnsi="Calibri"/>
                <w:color w:val="000000"/>
                <w:szCs w:val="22"/>
                <w:lang w:val="en-GB" w:eastAsia="en-US"/>
              </w:rPr>
              <w:t>49</w:t>
            </w:r>
          </w:p>
        </w:tc>
        <w:tc>
          <w:tcPr>
            <w:tcW w:w="1111"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w:t>
            </w:r>
            <w:r w:rsidR="005C4F53" w:rsidRPr="008D59AC">
              <w:rPr>
                <w:rFonts w:ascii="Calibri" w:hAnsi="Calibri"/>
                <w:color w:val="000000"/>
                <w:szCs w:val="22"/>
                <w:lang w:val="en-GB" w:eastAsia="en-US"/>
              </w:rPr>
              <w:t>56</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r w:rsidR="005C4F53" w:rsidRPr="008D59AC">
              <w:rPr>
                <w:rFonts w:ascii="Calibri" w:hAnsi="Calibri"/>
                <w:color w:val="000000"/>
                <w:szCs w:val="22"/>
                <w:lang w:val="en-GB" w:eastAsia="en-US"/>
              </w:rPr>
              <w:t>21</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w:t>
            </w:r>
            <w:r w:rsidR="005C4F53" w:rsidRPr="008D59AC">
              <w:rPr>
                <w:rFonts w:ascii="Calibri" w:hAnsi="Calibri"/>
                <w:color w:val="000000"/>
                <w:szCs w:val="22"/>
                <w:lang w:val="en-GB" w:eastAsia="en-US"/>
              </w:rPr>
              <w:t>74</w:t>
            </w:r>
          </w:p>
        </w:tc>
        <w:tc>
          <w:tcPr>
            <w:tcW w:w="960" w:type="dxa"/>
            <w:tcBorders>
              <w:top w:val="nil"/>
              <w:left w:val="nil"/>
              <w:bottom w:val="nil"/>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w:t>
            </w:r>
            <w:r w:rsidR="005C4F53" w:rsidRPr="008D59AC">
              <w:rPr>
                <w:rFonts w:ascii="Calibri" w:hAnsi="Calibri"/>
                <w:color w:val="000000"/>
                <w:szCs w:val="22"/>
                <w:lang w:val="en-GB" w:eastAsia="en-US"/>
              </w:rPr>
              <w:t>20</w:t>
            </w:r>
          </w:p>
        </w:tc>
      </w:tr>
      <w:tr w:rsidR="005C4F53" w:rsidRPr="008D59AC" w:rsidTr="00AF7A44">
        <w:trPr>
          <w:trHeight w:val="615"/>
        </w:trPr>
        <w:tc>
          <w:tcPr>
            <w:tcW w:w="1798" w:type="dxa"/>
            <w:tcBorders>
              <w:top w:val="nil"/>
              <w:left w:val="nil"/>
              <w:bottom w:val="single" w:sz="8" w:space="0" w:color="auto"/>
              <w:right w:val="nil"/>
            </w:tcBorders>
            <w:shd w:val="clear" w:color="auto" w:fill="auto"/>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Freedom of press</w:t>
            </w:r>
          </w:p>
        </w:tc>
        <w:tc>
          <w:tcPr>
            <w:tcW w:w="911"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73</w:t>
            </w:r>
          </w:p>
        </w:tc>
        <w:tc>
          <w:tcPr>
            <w:tcW w:w="1001"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r w:rsidR="005C4F53" w:rsidRPr="008D59AC">
              <w:rPr>
                <w:rFonts w:ascii="Calibri" w:hAnsi="Calibri"/>
                <w:color w:val="000000"/>
                <w:szCs w:val="22"/>
                <w:lang w:val="en-GB" w:eastAsia="en-US"/>
              </w:rPr>
              <w:t>02</w:t>
            </w:r>
          </w:p>
        </w:tc>
        <w:tc>
          <w:tcPr>
            <w:tcW w:w="1148"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r w:rsidR="005C4F53" w:rsidRPr="008D59AC">
              <w:rPr>
                <w:rFonts w:ascii="Calibri" w:hAnsi="Calibri"/>
                <w:color w:val="000000"/>
                <w:szCs w:val="22"/>
                <w:lang w:val="en-GB" w:eastAsia="en-US"/>
              </w:rPr>
              <w:t>75</w:t>
            </w:r>
          </w:p>
        </w:tc>
        <w:tc>
          <w:tcPr>
            <w:tcW w:w="1111"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r w:rsidR="005C4F53" w:rsidRPr="008D59AC">
              <w:rPr>
                <w:rFonts w:ascii="Calibri" w:hAnsi="Calibri"/>
                <w:color w:val="000000"/>
                <w:szCs w:val="22"/>
                <w:lang w:val="en-GB" w:eastAsia="en-US"/>
              </w:rPr>
              <w:t>32</w:t>
            </w:r>
          </w:p>
        </w:tc>
        <w:tc>
          <w:tcPr>
            <w:tcW w:w="960"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90</w:t>
            </w:r>
          </w:p>
        </w:tc>
        <w:tc>
          <w:tcPr>
            <w:tcW w:w="960"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w:t>
            </w:r>
            <w:r w:rsidR="005C4F53" w:rsidRPr="008D59AC">
              <w:rPr>
                <w:rFonts w:ascii="Calibri" w:hAnsi="Calibri"/>
                <w:color w:val="000000"/>
                <w:szCs w:val="22"/>
                <w:lang w:val="en-GB" w:eastAsia="en-US"/>
              </w:rPr>
              <w:t>25</w:t>
            </w:r>
          </w:p>
        </w:tc>
        <w:tc>
          <w:tcPr>
            <w:tcW w:w="960" w:type="dxa"/>
            <w:tcBorders>
              <w:top w:val="nil"/>
              <w:left w:val="nil"/>
              <w:bottom w:val="single" w:sz="8" w:space="0" w:color="auto"/>
              <w:right w:val="nil"/>
            </w:tcBorders>
            <w:shd w:val="clear" w:color="auto" w:fill="auto"/>
            <w:noWrap/>
            <w:vAlign w:val="center"/>
            <w:hideMark/>
          </w:tcPr>
          <w:p w:rsidR="005C4F53" w:rsidRPr="008D59AC" w:rsidRDefault="00E21483" w:rsidP="005C4F53">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r w:rsidR="005C4F53" w:rsidRPr="008D59AC">
              <w:rPr>
                <w:rFonts w:ascii="Calibri" w:hAnsi="Calibri"/>
                <w:color w:val="000000"/>
                <w:szCs w:val="22"/>
                <w:lang w:val="en-GB" w:eastAsia="en-US"/>
              </w:rPr>
              <w:t>45</w:t>
            </w:r>
          </w:p>
        </w:tc>
      </w:tr>
      <w:tr w:rsidR="005C4F53" w:rsidRPr="008D59AC" w:rsidTr="00AF7A44">
        <w:trPr>
          <w:trHeight w:val="300"/>
        </w:trPr>
        <w:tc>
          <w:tcPr>
            <w:tcW w:w="1798" w:type="dxa"/>
            <w:tcBorders>
              <w:top w:val="nil"/>
              <w:left w:val="nil"/>
              <w:bottom w:val="nil"/>
              <w:right w:val="nil"/>
            </w:tcBorders>
            <w:shd w:val="clear" w:color="auto" w:fill="auto"/>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00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148"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1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r>
      <w:tr w:rsidR="005C4F53" w:rsidRPr="008D59AC" w:rsidTr="00AF7A44">
        <w:trPr>
          <w:trHeight w:val="315"/>
        </w:trPr>
        <w:tc>
          <w:tcPr>
            <w:tcW w:w="2709" w:type="dxa"/>
            <w:gridSpan w:val="2"/>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B: Correlations</w:t>
            </w:r>
          </w:p>
        </w:tc>
        <w:tc>
          <w:tcPr>
            <w:tcW w:w="100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148"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11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r>
      <w:tr w:rsidR="005C4F53" w:rsidRPr="008D59AC" w:rsidTr="00AF7A44">
        <w:trPr>
          <w:trHeight w:val="315"/>
        </w:trPr>
        <w:tc>
          <w:tcPr>
            <w:tcW w:w="1798"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11" w:type="dxa"/>
            <w:tcBorders>
              <w:top w:val="nil"/>
              <w:left w:val="nil"/>
              <w:bottom w:val="single" w:sz="8" w:space="0" w:color="auto"/>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01"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(1)</w:t>
            </w:r>
          </w:p>
        </w:tc>
        <w:tc>
          <w:tcPr>
            <w:tcW w:w="1148"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(2)</w:t>
            </w:r>
          </w:p>
        </w:tc>
        <w:tc>
          <w:tcPr>
            <w:tcW w:w="1111"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(3)</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(4)</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(5)</w:t>
            </w:r>
          </w:p>
        </w:tc>
        <w:tc>
          <w:tcPr>
            <w:tcW w:w="960" w:type="dxa"/>
            <w:tcBorders>
              <w:top w:val="single" w:sz="8" w:space="0" w:color="auto"/>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(6)</w:t>
            </w:r>
          </w:p>
        </w:tc>
      </w:tr>
      <w:tr w:rsidR="005C4F53" w:rsidRPr="008D59AC" w:rsidTr="00E5719D">
        <w:trPr>
          <w:trHeight w:val="300"/>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Board independence (1)</w:t>
            </w:r>
          </w:p>
        </w:tc>
        <w:tc>
          <w:tcPr>
            <w:tcW w:w="1001" w:type="dxa"/>
            <w:vMerge w:val="restart"/>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1148"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0,816</w:t>
            </w:r>
          </w:p>
        </w:tc>
        <w:tc>
          <w:tcPr>
            <w:tcW w:w="111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0,875</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0,860</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0,774</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0,658</w:t>
            </w:r>
          </w:p>
        </w:tc>
      </w:tr>
      <w:tr w:rsidR="005C4F53" w:rsidRPr="008D59AC" w:rsidTr="00E5719D">
        <w:trPr>
          <w:trHeight w:val="300"/>
        </w:trPr>
        <w:tc>
          <w:tcPr>
            <w:tcW w:w="1798" w:type="dxa"/>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p>
        </w:tc>
        <w:tc>
          <w:tcPr>
            <w:tcW w:w="1001" w:type="dxa"/>
            <w:vMerge/>
            <w:tcBorders>
              <w:top w:val="nil"/>
              <w:left w:val="nil"/>
              <w:bottom w:val="nil"/>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c>
          <w:tcPr>
            <w:tcW w:w="1148"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1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r>
      <w:tr w:rsidR="005C4F53" w:rsidRPr="008D59AC" w:rsidTr="00E5719D">
        <w:trPr>
          <w:trHeight w:val="315"/>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Law enforcement (2)</w:t>
            </w:r>
          </w:p>
        </w:tc>
        <w:tc>
          <w:tcPr>
            <w:tcW w:w="100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0,806</w:t>
            </w:r>
          </w:p>
        </w:tc>
        <w:tc>
          <w:tcPr>
            <w:tcW w:w="1148" w:type="dxa"/>
            <w:vMerge w:val="restart"/>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111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0,788</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0,816</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0,576</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0,424</w:t>
            </w:r>
          </w:p>
        </w:tc>
      </w:tr>
      <w:tr w:rsidR="005C4F53" w:rsidRPr="008D59AC" w:rsidTr="00E5719D">
        <w:trPr>
          <w:trHeight w:val="315"/>
        </w:trPr>
        <w:tc>
          <w:tcPr>
            <w:tcW w:w="1798" w:type="dxa"/>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p>
        </w:tc>
        <w:tc>
          <w:tcPr>
            <w:tcW w:w="100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48" w:type="dxa"/>
            <w:vMerge/>
            <w:tcBorders>
              <w:top w:val="nil"/>
              <w:left w:val="nil"/>
              <w:bottom w:val="nil"/>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c>
          <w:tcPr>
            <w:tcW w:w="111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0,012</w:t>
            </w:r>
            <w:r w:rsidRPr="008D59AC">
              <w:rPr>
                <w:rFonts w:ascii="Calibri" w:hAnsi="Calibri"/>
                <w:b/>
                <w:bCs/>
                <w:color w:val="000000"/>
                <w:szCs w:val="22"/>
                <w:lang w:val="en-GB" w:eastAsia="en-US"/>
              </w:rPr>
              <w:t>)</w:t>
            </w:r>
          </w:p>
        </w:tc>
      </w:tr>
      <w:tr w:rsidR="005C4F53" w:rsidRPr="008D59AC" w:rsidTr="00E5719D">
        <w:trPr>
          <w:trHeight w:val="300"/>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Minority protection (3)</w:t>
            </w:r>
          </w:p>
        </w:tc>
        <w:tc>
          <w:tcPr>
            <w:tcW w:w="100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0,874</w:t>
            </w:r>
          </w:p>
        </w:tc>
        <w:tc>
          <w:tcPr>
            <w:tcW w:w="1148"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0,815</w:t>
            </w:r>
          </w:p>
        </w:tc>
        <w:tc>
          <w:tcPr>
            <w:tcW w:w="1111" w:type="dxa"/>
            <w:vMerge w:val="restart"/>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0,894</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0,790</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0,494</w:t>
            </w:r>
          </w:p>
        </w:tc>
      </w:tr>
      <w:tr w:rsidR="005C4F53" w:rsidRPr="008D59AC" w:rsidTr="00E5719D">
        <w:trPr>
          <w:trHeight w:val="300"/>
        </w:trPr>
        <w:tc>
          <w:tcPr>
            <w:tcW w:w="1798" w:type="dxa"/>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p>
        </w:tc>
        <w:tc>
          <w:tcPr>
            <w:tcW w:w="100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48"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11" w:type="dxa"/>
            <w:vMerge/>
            <w:tcBorders>
              <w:top w:val="nil"/>
              <w:left w:val="nil"/>
              <w:bottom w:val="nil"/>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0,003</w:t>
            </w:r>
            <w:r w:rsidRPr="008D59AC">
              <w:rPr>
                <w:rFonts w:ascii="Calibri" w:hAnsi="Calibri"/>
                <w:b/>
                <w:bCs/>
                <w:color w:val="000000"/>
                <w:szCs w:val="22"/>
                <w:lang w:val="en-GB" w:eastAsia="en-US"/>
              </w:rPr>
              <w:t>)</w:t>
            </w:r>
          </w:p>
        </w:tc>
      </w:tr>
      <w:tr w:rsidR="005C4F53" w:rsidRPr="008D59AC" w:rsidTr="00E5719D">
        <w:trPr>
          <w:trHeight w:val="300"/>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Standards enforcement (4)</w:t>
            </w:r>
          </w:p>
        </w:tc>
        <w:tc>
          <w:tcPr>
            <w:tcW w:w="100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0,868</w:t>
            </w:r>
          </w:p>
        </w:tc>
        <w:tc>
          <w:tcPr>
            <w:tcW w:w="1148"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0,849</w:t>
            </w:r>
          </w:p>
        </w:tc>
        <w:tc>
          <w:tcPr>
            <w:tcW w:w="111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0,906</w:t>
            </w:r>
          </w:p>
        </w:tc>
        <w:tc>
          <w:tcPr>
            <w:tcW w:w="960" w:type="dxa"/>
            <w:vMerge w:val="restart"/>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0,787</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0,551</w:t>
            </w:r>
          </w:p>
        </w:tc>
      </w:tr>
      <w:tr w:rsidR="005C4F53" w:rsidRPr="008D59AC" w:rsidTr="00E5719D">
        <w:trPr>
          <w:trHeight w:val="300"/>
        </w:trPr>
        <w:tc>
          <w:tcPr>
            <w:tcW w:w="1798" w:type="dxa"/>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Times New Roman" w:hAnsi="Times New Roman"/>
                <w:color w:val="000000"/>
                <w:sz w:val="20"/>
                <w:szCs w:val="20"/>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p>
        </w:tc>
        <w:tc>
          <w:tcPr>
            <w:tcW w:w="100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ind w:left="-67" w:firstLine="35"/>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48"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1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vMerge/>
            <w:tcBorders>
              <w:top w:val="nil"/>
              <w:left w:val="nil"/>
              <w:bottom w:val="nil"/>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0,001</w:t>
            </w:r>
            <w:r w:rsidRPr="008D59AC">
              <w:rPr>
                <w:rFonts w:ascii="Calibri" w:hAnsi="Calibri"/>
                <w:b/>
                <w:bCs/>
                <w:color w:val="000000"/>
                <w:szCs w:val="22"/>
                <w:lang w:val="en-GB" w:eastAsia="en-US"/>
              </w:rPr>
              <w:t>)</w:t>
            </w:r>
          </w:p>
        </w:tc>
      </w:tr>
      <w:tr w:rsidR="005C4F53" w:rsidRPr="008D59AC" w:rsidTr="00E5719D">
        <w:trPr>
          <w:trHeight w:val="300"/>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Judicial independence (5)</w:t>
            </w:r>
          </w:p>
        </w:tc>
        <w:tc>
          <w:tcPr>
            <w:tcW w:w="100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0,813</w:t>
            </w:r>
          </w:p>
        </w:tc>
        <w:tc>
          <w:tcPr>
            <w:tcW w:w="1148"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0,593</w:t>
            </w:r>
          </w:p>
        </w:tc>
        <w:tc>
          <w:tcPr>
            <w:tcW w:w="111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0,795</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0,799</w:t>
            </w:r>
          </w:p>
        </w:tc>
        <w:tc>
          <w:tcPr>
            <w:tcW w:w="960" w:type="dxa"/>
            <w:vMerge w:val="restart"/>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0,690</w:t>
            </w:r>
          </w:p>
        </w:tc>
      </w:tr>
      <w:tr w:rsidR="005C4F53" w:rsidRPr="008D59AC" w:rsidTr="00E5719D">
        <w:trPr>
          <w:trHeight w:val="300"/>
        </w:trPr>
        <w:tc>
          <w:tcPr>
            <w:tcW w:w="1798" w:type="dxa"/>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p>
        </w:tc>
        <w:tc>
          <w:tcPr>
            <w:tcW w:w="911" w:type="dxa"/>
            <w:tcBorders>
              <w:top w:val="nil"/>
              <w:left w:val="nil"/>
              <w:bottom w:val="nil"/>
              <w:right w:val="nil"/>
            </w:tcBorders>
            <w:shd w:val="clear" w:color="auto" w:fill="auto"/>
            <w:noWrap/>
            <w:vAlign w:val="bottom"/>
            <w:hideMark/>
          </w:tcPr>
          <w:p w:rsidR="005C4F53" w:rsidRPr="008D59AC" w:rsidRDefault="005C4F53" w:rsidP="005C4F53">
            <w:pPr>
              <w:spacing w:before="0" w:after="0" w:line="240" w:lineRule="auto"/>
              <w:rPr>
                <w:rFonts w:ascii="Calibri" w:hAnsi="Calibri"/>
                <w:color w:val="000000"/>
                <w:szCs w:val="22"/>
                <w:lang w:val="en-GB" w:eastAsia="en-US"/>
              </w:rPr>
            </w:pPr>
          </w:p>
        </w:tc>
        <w:tc>
          <w:tcPr>
            <w:tcW w:w="100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48"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1111"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c>
          <w:tcPr>
            <w:tcW w:w="960" w:type="dxa"/>
            <w:vMerge/>
            <w:tcBorders>
              <w:top w:val="nil"/>
              <w:left w:val="nil"/>
              <w:bottom w:val="nil"/>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c>
          <w:tcPr>
            <w:tcW w:w="960" w:type="dxa"/>
            <w:tcBorders>
              <w:top w:val="nil"/>
              <w:left w:val="nil"/>
              <w:bottom w:val="nil"/>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0,000</w:t>
            </w:r>
            <w:r w:rsidRPr="008D59AC">
              <w:rPr>
                <w:rFonts w:ascii="Calibri" w:hAnsi="Calibri"/>
                <w:b/>
                <w:bCs/>
                <w:color w:val="000000"/>
                <w:szCs w:val="22"/>
                <w:lang w:val="en-GB" w:eastAsia="en-US"/>
              </w:rPr>
              <w:t>)</w:t>
            </w:r>
          </w:p>
        </w:tc>
      </w:tr>
      <w:tr w:rsidR="005C4F53" w:rsidRPr="008D59AC" w:rsidTr="00E5719D">
        <w:trPr>
          <w:trHeight w:val="117"/>
        </w:trPr>
        <w:tc>
          <w:tcPr>
            <w:tcW w:w="2709" w:type="dxa"/>
            <w:gridSpan w:val="2"/>
            <w:tcBorders>
              <w:top w:val="nil"/>
              <w:left w:val="nil"/>
              <w:bottom w:val="nil"/>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Freedom of press (6)</w:t>
            </w:r>
          </w:p>
        </w:tc>
        <w:tc>
          <w:tcPr>
            <w:tcW w:w="100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0,496</w:t>
            </w:r>
          </w:p>
        </w:tc>
        <w:tc>
          <w:tcPr>
            <w:tcW w:w="1148"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0,303</w:t>
            </w:r>
          </w:p>
        </w:tc>
        <w:tc>
          <w:tcPr>
            <w:tcW w:w="1111"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0,374</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0,425</w:t>
            </w:r>
          </w:p>
        </w:tc>
        <w:tc>
          <w:tcPr>
            <w:tcW w:w="960" w:type="dxa"/>
            <w:tcBorders>
              <w:top w:val="nil"/>
              <w:left w:val="nil"/>
              <w:bottom w:val="nil"/>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0,551</w:t>
            </w:r>
          </w:p>
        </w:tc>
        <w:tc>
          <w:tcPr>
            <w:tcW w:w="960" w:type="dxa"/>
            <w:vMerge w:val="restart"/>
            <w:tcBorders>
              <w:top w:val="nil"/>
              <w:left w:val="nil"/>
              <w:bottom w:val="single" w:sz="8" w:space="0" w:color="000000"/>
              <w:right w:val="nil"/>
            </w:tcBorders>
            <w:shd w:val="clear" w:color="auto" w:fill="auto"/>
            <w:noWrap/>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w:t>
            </w:r>
          </w:p>
        </w:tc>
      </w:tr>
      <w:tr w:rsidR="005C4F53" w:rsidRPr="008D59AC" w:rsidTr="00E5719D">
        <w:trPr>
          <w:trHeight w:val="315"/>
        </w:trPr>
        <w:tc>
          <w:tcPr>
            <w:tcW w:w="1798"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1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1001" w:type="dxa"/>
            <w:tcBorders>
              <w:top w:val="nil"/>
              <w:left w:val="nil"/>
              <w:bottom w:val="single" w:sz="8" w:space="0" w:color="auto"/>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0,003</w:t>
            </w:r>
            <w:r w:rsidRPr="008D59AC">
              <w:rPr>
                <w:rFonts w:ascii="Calibri" w:hAnsi="Calibri"/>
                <w:b/>
                <w:bCs/>
                <w:color w:val="000000"/>
                <w:szCs w:val="22"/>
                <w:lang w:val="en-GB" w:eastAsia="en-US"/>
              </w:rPr>
              <w:t>)</w:t>
            </w:r>
          </w:p>
        </w:tc>
        <w:tc>
          <w:tcPr>
            <w:tcW w:w="1148" w:type="dxa"/>
            <w:tcBorders>
              <w:top w:val="nil"/>
              <w:left w:val="nil"/>
              <w:bottom w:val="single" w:sz="8" w:space="0" w:color="auto"/>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0,081</w:t>
            </w:r>
            <w:r w:rsidRPr="008D59AC">
              <w:rPr>
                <w:rFonts w:ascii="Calibri" w:hAnsi="Calibri"/>
                <w:b/>
                <w:bCs/>
                <w:color w:val="000000"/>
                <w:szCs w:val="22"/>
                <w:lang w:val="en-GB" w:eastAsia="en-US"/>
              </w:rPr>
              <w:t>)</w:t>
            </w:r>
          </w:p>
        </w:tc>
        <w:tc>
          <w:tcPr>
            <w:tcW w:w="1111" w:type="dxa"/>
            <w:tcBorders>
              <w:top w:val="nil"/>
              <w:left w:val="nil"/>
              <w:bottom w:val="single" w:sz="8" w:space="0" w:color="auto"/>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0,029</w:t>
            </w:r>
            <w:r w:rsidRPr="008D59AC">
              <w:rPr>
                <w:rFonts w:ascii="Calibri" w:hAnsi="Calibri"/>
                <w:b/>
                <w:bCs/>
                <w:color w:val="000000"/>
                <w:szCs w:val="22"/>
                <w:lang w:val="en-GB" w:eastAsia="en-US"/>
              </w:rPr>
              <w:t>)</w:t>
            </w:r>
          </w:p>
        </w:tc>
        <w:tc>
          <w:tcPr>
            <w:tcW w:w="960" w:type="dxa"/>
            <w:tcBorders>
              <w:top w:val="nil"/>
              <w:left w:val="nil"/>
              <w:bottom w:val="single" w:sz="8" w:space="0" w:color="auto"/>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0,012</w:t>
            </w:r>
            <w:r w:rsidRPr="008D59AC">
              <w:rPr>
                <w:rFonts w:ascii="Calibri" w:hAnsi="Calibri"/>
                <w:b/>
                <w:bCs/>
                <w:color w:val="000000"/>
                <w:szCs w:val="22"/>
                <w:lang w:val="en-GB" w:eastAsia="en-US"/>
              </w:rPr>
              <w:t>)</w:t>
            </w:r>
          </w:p>
        </w:tc>
        <w:tc>
          <w:tcPr>
            <w:tcW w:w="960" w:type="dxa"/>
            <w:tcBorders>
              <w:top w:val="nil"/>
              <w:left w:val="nil"/>
              <w:bottom w:val="single" w:sz="8" w:space="0" w:color="auto"/>
              <w:right w:val="nil"/>
            </w:tcBorders>
            <w:shd w:val="clear" w:color="auto" w:fill="auto"/>
            <w:noWrap/>
            <w:vAlign w:val="center"/>
            <w:hideMark/>
          </w:tcPr>
          <w:p w:rsidR="005C4F53" w:rsidRPr="008D59AC" w:rsidRDefault="00AF7A44" w:rsidP="00E5719D">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t>
            </w:r>
            <w:r w:rsidR="005C4F53" w:rsidRPr="008D59AC">
              <w:rPr>
                <w:rFonts w:ascii="Calibri" w:hAnsi="Calibri"/>
                <w:b/>
                <w:bCs/>
                <w:color w:val="000000"/>
                <w:szCs w:val="22"/>
                <w:lang w:val="en-GB" w:eastAsia="en-US"/>
              </w:rPr>
              <w:t>0,001</w:t>
            </w:r>
            <w:r w:rsidRPr="008D59AC">
              <w:rPr>
                <w:rFonts w:ascii="Calibri" w:hAnsi="Calibri"/>
                <w:b/>
                <w:bCs/>
                <w:color w:val="000000"/>
                <w:szCs w:val="22"/>
                <w:lang w:val="en-GB" w:eastAsia="en-US"/>
              </w:rPr>
              <w:t>)</w:t>
            </w:r>
          </w:p>
        </w:tc>
        <w:tc>
          <w:tcPr>
            <w:tcW w:w="960" w:type="dxa"/>
            <w:vMerge/>
            <w:tcBorders>
              <w:top w:val="nil"/>
              <w:left w:val="nil"/>
              <w:bottom w:val="single" w:sz="8" w:space="0" w:color="000000"/>
              <w:right w:val="nil"/>
            </w:tcBorders>
            <w:vAlign w:val="center"/>
            <w:hideMark/>
          </w:tcPr>
          <w:p w:rsidR="005C4F53" w:rsidRPr="008D59AC" w:rsidRDefault="005C4F53" w:rsidP="00E5719D">
            <w:pPr>
              <w:spacing w:before="0" w:after="0" w:line="240" w:lineRule="auto"/>
              <w:jc w:val="center"/>
              <w:rPr>
                <w:rFonts w:ascii="Calibri" w:hAnsi="Calibri"/>
                <w:color w:val="000000"/>
                <w:szCs w:val="22"/>
                <w:lang w:val="en-GB" w:eastAsia="en-US"/>
              </w:rPr>
            </w:pPr>
          </w:p>
        </w:tc>
      </w:tr>
      <w:tr w:rsidR="005C4F53" w:rsidRPr="008D59AC" w:rsidTr="00AF7A44">
        <w:trPr>
          <w:trHeight w:val="315"/>
        </w:trPr>
        <w:tc>
          <w:tcPr>
            <w:tcW w:w="1798"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1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00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148"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111"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5C4F53" w:rsidRPr="008D59AC" w:rsidRDefault="005C4F53" w:rsidP="005C4F53">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bl>
    <w:p w:rsidR="005C4F53" w:rsidRPr="008D59AC" w:rsidRDefault="0088172D" w:rsidP="007D4564">
      <w:pPr>
        <w:pStyle w:val="HRefBody"/>
        <w:ind w:left="0" w:firstLine="0"/>
        <w:jc w:val="both"/>
        <w:rPr>
          <w:sz w:val="20"/>
          <w:lang w:val="en-GB"/>
        </w:rPr>
      </w:pPr>
      <w:r w:rsidRPr="008D59AC">
        <w:rPr>
          <w:sz w:val="20"/>
          <w:lang w:val="en-GB"/>
        </w:rPr>
        <w:t>Panel A of</w:t>
      </w:r>
      <w:r w:rsidR="001A1D7D" w:rsidRPr="008D59AC">
        <w:rPr>
          <w:sz w:val="20"/>
          <w:lang w:val="en-GB"/>
        </w:rPr>
        <w:t xml:space="preserve"> Table </w:t>
      </w:r>
      <w:r w:rsidR="00687A1E" w:rsidRPr="008D59AC">
        <w:rPr>
          <w:sz w:val="20"/>
          <w:lang w:val="en-GB"/>
        </w:rPr>
        <w:t>4</w:t>
      </w:r>
      <w:r w:rsidR="001A1D7D" w:rsidRPr="008D59AC">
        <w:rPr>
          <w:sz w:val="20"/>
          <w:lang w:val="en-GB"/>
        </w:rPr>
        <w:t xml:space="preserve"> presents descriptive statistics about the investor protection variables used to determine the overall investor protection environment in every spec</w:t>
      </w:r>
      <w:r w:rsidR="003320AC" w:rsidRPr="008D59AC">
        <w:rPr>
          <w:sz w:val="20"/>
          <w:lang w:val="en-GB"/>
        </w:rPr>
        <w:t>ific cou</w:t>
      </w:r>
      <w:r w:rsidR="00687A1E" w:rsidRPr="008D59AC">
        <w:rPr>
          <w:sz w:val="20"/>
          <w:lang w:val="en-GB"/>
        </w:rPr>
        <w:t>ntry. Panel B of Table 4</w:t>
      </w:r>
      <w:r w:rsidR="001A1D7D" w:rsidRPr="008D59AC">
        <w:rPr>
          <w:sz w:val="20"/>
          <w:lang w:val="en-GB"/>
        </w:rPr>
        <w:t xml:space="preserve"> presents the correlations between the investor protection variables. P-values are in bold</w:t>
      </w:r>
      <w:r w:rsidR="00960627" w:rsidRPr="008D59AC">
        <w:rPr>
          <w:sz w:val="20"/>
          <w:lang w:val="en-GB"/>
        </w:rPr>
        <w:t xml:space="preserve"> and in parentheses</w:t>
      </w:r>
      <w:r w:rsidR="001A1D7D" w:rsidRPr="008D59AC">
        <w:rPr>
          <w:sz w:val="20"/>
          <w:lang w:val="en-GB"/>
        </w:rPr>
        <w:t xml:space="preserve">. </w:t>
      </w:r>
      <w:r w:rsidR="00FC33E3" w:rsidRPr="008D59AC">
        <w:rPr>
          <w:sz w:val="20"/>
          <w:lang w:val="en-GB"/>
        </w:rPr>
        <w:t>Below the diagonal are the Pearson’s correlations and above the diagonal are the Spearman’s correlations.</w:t>
      </w:r>
    </w:p>
    <w:p w:rsidR="000E5569" w:rsidRPr="008D59AC" w:rsidRDefault="000E5569" w:rsidP="007D4564">
      <w:pPr>
        <w:pStyle w:val="HRefBody"/>
        <w:ind w:left="0" w:firstLine="0"/>
        <w:jc w:val="both"/>
        <w:rPr>
          <w:sz w:val="20"/>
          <w:lang w:val="en-GB"/>
        </w:rPr>
      </w:pPr>
    </w:p>
    <w:p w:rsidR="001B58B4" w:rsidRPr="008D59AC" w:rsidRDefault="001B58B4" w:rsidP="00062AB8">
      <w:pPr>
        <w:pStyle w:val="HTable"/>
        <w:numPr>
          <w:ilvl w:val="0"/>
          <w:numId w:val="0"/>
        </w:numPr>
        <w:ind w:left="907" w:hanging="907"/>
        <w:rPr>
          <w:lang w:val="en-GB"/>
        </w:rPr>
      </w:pPr>
    </w:p>
    <w:p w:rsidR="001B58B4" w:rsidRPr="008D59AC" w:rsidRDefault="001B58B4" w:rsidP="00062AB8">
      <w:pPr>
        <w:pStyle w:val="HTable"/>
        <w:numPr>
          <w:ilvl w:val="0"/>
          <w:numId w:val="0"/>
        </w:numPr>
        <w:ind w:left="907" w:hanging="907"/>
        <w:rPr>
          <w:lang w:val="en-GB"/>
        </w:rPr>
      </w:pPr>
    </w:p>
    <w:p w:rsidR="001B58B4" w:rsidRPr="008D59AC" w:rsidRDefault="001B58B4" w:rsidP="00062AB8">
      <w:pPr>
        <w:pStyle w:val="HTable"/>
        <w:numPr>
          <w:ilvl w:val="0"/>
          <w:numId w:val="0"/>
        </w:numPr>
        <w:ind w:left="907" w:hanging="907"/>
        <w:rPr>
          <w:lang w:val="en-GB"/>
        </w:rPr>
      </w:pPr>
    </w:p>
    <w:p w:rsidR="001B58B4" w:rsidRPr="008D59AC" w:rsidRDefault="001B58B4" w:rsidP="00062AB8">
      <w:pPr>
        <w:pStyle w:val="HTable"/>
        <w:numPr>
          <w:ilvl w:val="0"/>
          <w:numId w:val="0"/>
        </w:numPr>
        <w:ind w:left="907" w:hanging="907"/>
        <w:rPr>
          <w:lang w:val="en-GB"/>
        </w:rPr>
      </w:pPr>
    </w:p>
    <w:p w:rsidR="001B58B4" w:rsidRPr="008D59AC" w:rsidRDefault="001B58B4" w:rsidP="00062AB8">
      <w:pPr>
        <w:pStyle w:val="HTable"/>
        <w:numPr>
          <w:ilvl w:val="0"/>
          <w:numId w:val="0"/>
        </w:numPr>
        <w:ind w:left="907" w:hanging="907"/>
        <w:rPr>
          <w:lang w:val="en-GB"/>
        </w:rPr>
      </w:pPr>
    </w:p>
    <w:p w:rsidR="00062AB8" w:rsidRPr="008D59AC" w:rsidRDefault="00687A1E" w:rsidP="00062AB8">
      <w:pPr>
        <w:pStyle w:val="HTable"/>
        <w:numPr>
          <w:ilvl w:val="0"/>
          <w:numId w:val="0"/>
        </w:numPr>
        <w:ind w:left="907" w:hanging="907"/>
        <w:rPr>
          <w:sz w:val="20"/>
          <w:lang w:val="en-GB"/>
        </w:rPr>
      </w:pPr>
      <w:r w:rsidRPr="008D59AC">
        <w:rPr>
          <w:lang w:val="en-GB"/>
        </w:rPr>
        <w:lastRenderedPageBreak/>
        <w:t>Table 5</w:t>
      </w:r>
      <w:r w:rsidR="00062AB8" w:rsidRPr="008D59AC">
        <w:rPr>
          <w:lang w:val="en-GB"/>
        </w:rPr>
        <w:t xml:space="preserve"> Cluster </w:t>
      </w:r>
      <w:r w:rsidR="00FE6BB8" w:rsidRPr="008D59AC">
        <w:rPr>
          <w:lang w:val="en-GB"/>
        </w:rPr>
        <w:t>analysis</w:t>
      </w:r>
    </w:p>
    <w:tbl>
      <w:tblPr>
        <w:tblW w:w="5000" w:type="pct"/>
        <w:tblLook w:val="04A0" w:firstRow="1" w:lastRow="0" w:firstColumn="1" w:lastColumn="0" w:noHBand="0" w:noVBand="1"/>
      </w:tblPr>
      <w:tblGrid>
        <w:gridCol w:w="2880"/>
        <w:gridCol w:w="274"/>
        <w:gridCol w:w="1488"/>
        <w:gridCol w:w="804"/>
        <w:gridCol w:w="996"/>
        <w:gridCol w:w="1275"/>
        <w:gridCol w:w="1310"/>
      </w:tblGrid>
      <w:tr w:rsidR="007860BB" w:rsidRPr="00513FBE" w:rsidTr="007860BB">
        <w:trPr>
          <w:trHeight w:val="315"/>
        </w:trPr>
        <w:tc>
          <w:tcPr>
            <w:tcW w:w="2561" w:type="pct"/>
            <w:gridSpan w:val="3"/>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A: Mean values by cluster</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r>
      <w:tr w:rsidR="007860BB" w:rsidRPr="008D59AC" w:rsidTr="007860BB">
        <w:trPr>
          <w:trHeight w:val="31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Variable</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w:t>
            </w:r>
          </w:p>
        </w:tc>
        <w:tc>
          <w:tcPr>
            <w:tcW w:w="444" w:type="pct"/>
            <w:tcBorders>
              <w:top w:val="single" w:sz="8" w:space="0" w:color="auto"/>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562" w:type="pct"/>
            <w:tcBorders>
              <w:top w:val="single" w:sz="8" w:space="0" w:color="auto"/>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Medium</w:t>
            </w:r>
          </w:p>
        </w:tc>
        <w:tc>
          <w:tcPr>
            <w:tcW w:w="716" w:type="pct"/>
            <w:tcBorders>
              <w:top w:val="single" w:sz="8" w:space="0" w:color="auto"/>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716" w:type="pct"/>
            <w:tcBorders>
              <w:top w:val="single" w:sz="8" w:space="0" w:color="auto"/>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w:t>
            </w:r>
          </w:p>
        </w:tc>
      </w:tr>
      <w:tr w:rsidR="007860BB" w:rsidRPr="008D59AC" w:rsidTr="007860BB">
        <w:trPr>
          <w:trHeight w:val="300"/>
        </w:trPr>
        <w:tc>
          <w:tcPr>
            <w:tcW w:w="1589" w:type="pct"/>
            <w:tcBorders>
              <w:top w:val="nil"/>
              <w:left w:val="nil"/>
              <w:bottom w:val="nil"/>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Board independence</w:t>
            </w: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5.43</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4.87</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4.19</w:t>
            </w:r>
          </w:p>
        </w:tc>
      </w:tr>
      <w:tr w:rsidR="007860BB" w:rsidRPr="008D59AC" w:rsidTr="007860BB">
        <w:trPr>
          <w:trHeight w:val="300"/>
        </w:trPr>
        <w:tc>
          <w:tcPr>
            <w:tcW w:w="1589" w:type="pct"/>
            <w:tcBorders>
              <w:top w:val="nil"/>
              <w:left w:val="nil"/>
              <w:bottom w:val="nil"/>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Law enforcement</w:t>
            </w: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5.49</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4.85</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4.29</w:t>
            </w:r>
          </w:p>
        </w:tc>
      </w:tr>
      <w:tr w:rsidR="007860BB" w:rsidRPr="008D59AC" w:rsidTr="007860BB">
        <w:trPr>
          <w:trHeight w:val="300"/>
        </w:trPr>
        <w:tc>
          <w:tcPr>
            <w:tcW w:w="1589" w:type="pct"/>
            <w:tcBorders>
              <w:top w:val="nil"/>
              <w:left w:val="nil"/>
              <w:bottom w:val="nil"/>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Minority protection</w:t>
            </w: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5.33</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4.83</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3.98</w:t>
            </w:r>
          </w:p>
        </w:tc>
      </w:tr>
      <w:tr w:rsidR="007860BB" w:rsidRPr="008D59AC" w:rsidTr="007860BB">
        <w:trPr>
          <w:trHeight w:val="300"/>
        </w:trPr>
        <w:tc>
          <w:tcPr>
            <w:tcW w:w="1589" w:type="pct"/>
            <w:tcBorders>
              <w:top w:val="nil"/>
              <w:left w:val="nil"/>
              <w:bottom w:val="nil"/>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Standards enforcement</w:t>
            </w: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5.87</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5.2</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4.53</w:t>
            </w:r>
          </w:p>
        </w:tc>
      </w:tr>
      <w:tr w:rsidR="007860BB" w:rsidRPr="008D59AC" w:rsidTr="007860BB">
        <w:trPr>
          <w:trHeight w:val="300"/>
        </w:trPr>
        <w:tc>
          <w:tcPr>
            <w:tcW w:w="1589" w:type="pct"/>
            <w:tcBorders>
              <w:top w:val="nil"/>
              <w:left w:val="nil"/>
              <w:bottom w:val="nil"/>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Judicial independence</w:t>
            </w: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6.01</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5.02</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3.64</w:t>
            </w:r>
          </w:p>
        </w:tc>
      </w:tr>
      <w:tr w:rsidR="007860BB" w:rsidRPr="008D59AC" w:rsidTr="007860BB">
        <w:trPr>
          <w:trHeight w:val="315"/>
        </w:trPr>
        <w:tc>
          <w:tcPr>
            <w:tcW w:w="1589" w:type="pct"/>
            <w:tcBorders>
              <w:top w:val="nil"/>
              <w:left w:val="nil"/>
              <w:bottom w:val="single" w:sz="8" w:space="0" w:color="auto"/>
              <w:right w:val="nil"/>
            </w:tcBorders>
            <w:shd w:val="clear" w:color="auto" w:fill="auto"/>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Freedom of press</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1.47</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0.14</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0.33</w:t>
            </w:r>
          </w:p>
        </w:tc>
      </w:tr>
      <w:tr w:rsidR="007860BB" w:rsidRPr="008D59AC" w:rsidTr="007860BB">
        <w:trPr>
          <w:trHeight w:val="18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r>
      <w:tr w:rsidR="007860BB" w:rsidRPr="00513FBE" w:rsidTr="007860BB">
        <w:trPr>
          <w:trHeight w:val="315"/>
        </w:trPr>
        <w:tc>
          <w:tcPr>
            <w:tcW w:w="3005" w:type="pct"/>
            <w:gridSpan w:val="4"/>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B: Cluster membership of countries</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7860BB" w:rsidRPr="008D59AC" w:rsidTr="007860BB">
        <w:trPr>
          <w:trHeight w:val="31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Medium</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Australia</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Bahrain</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Ghana</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Austria</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Brazil</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Greece</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Belgium</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Chile</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Hungary</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Canada</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France</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Italy</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Denmark</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Ireland</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Kenya</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Finland</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Jordan</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Kuwait</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Germany</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UAE</w:t>
            </w: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Morocco</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Netherlands</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Poland</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Norway</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Portugal</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South Africa</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Russia</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Sweden</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Slovakia</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Switzerland</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Spain</w:t>
            </w:r>
          </w:p>
        </w:tc>
      </w:tr>
      <w:tr w:rsidR="007860BB" w:rsidRPr="008D59AC" w:rsidTr="007860BB">
        <w:trPr>
          <w:trHeight w:val="30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UK</w:t>
            </w: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Times New Roman" w:hAnsi="Times New Roman"/>
                <w:color w:val="000000"/>
                <w:sz w:val="20"/>
                <w:szCs w:val="20"/>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South Korea</w:t>
            </w:r>
          </w:p>
        </w:tc>
      </w:tr>
      <w:tr w:rsidR="007860BB" w:rsidRPr="008D59AC" w:rsidTr="007860BB">
        <w:trPr>
          <w:trHeight w:val="31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Turkey</w:t>
            </w:r>
          </w:p>
        </w:tc>
      </w:tr>
      <w:tr w:rsidR="007860BB" w:rsidRPr="008D59AC" w:rsidTr="007860BB">
        <w:trPr>
          <w:trHeight w:val="210"/>
        </w:trPr>
        <w:tc>
          <w:tcPr>
            <w:tcW w:w="1589"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444"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r>
      <w:tr w:rsidR="007860BB" w:rsidRPr="00513FBE" w:rsidTr="007860BB">
        <w:trPr>
          <w:trHeight w:val="315"/>
        </w:trPr>
        <w:tc>
          <w:tcPr>
            <w:tcW w:w="3005" w:type="pct"/>
            <w:gridSpan w:val="4"/>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xml:space="preserve">Panel C: </w:t>
            </w:r>
            <w:r w:rsidR="00206DE6" w:rsidRPr="008D59AC">
              <w:rPr>
                <w:rFonts w:ascii="Calibri" w:hAnsi="Calibri"/>
                <w:b/>
                <w:bCs/>
                <w:color w:val="000000"/>
                <w:szCs w:val="22"/>
                <w:lang w:val="en-GB" w:eastAsia="en-US"/>
              </w:rPr>
              <w:t>Descriptive statistics</w:t>
            </w:r>
            <w:r w:rsidRPr="008D59AC">
              <w:rPr>
                <w:rFonts w:ascii="Calibri" w:hAnsi="Calibri"/>
                <w:b/>
                <w:bCs/>
                <w:color w:val="000000"/>
                <w:szCs w:val="22"/>
                <w:lang w:val="en-GB" w:eastAsia="en-US"/>
              </w:rPr>
              <w:t xml:space="preserve"> per cluster (average values)</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7860BB" w:rsidRPr="00513FBE" w:rsidTr="007860BB">
        <w:trPr>
          <w:trHeight w:val="16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562"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7860BB" w:rsidRPr="008D59AC" w:rsidTr="007860BB">
        <w:trPr>
          <w:trHeight w:val="31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Variable</w:t>
            </w:r>
          </w:p>
        </w:tc>
        <w:tc>
          <w:tcPr>
            <w:tcW w:w="15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562" w:type="pct"/>
            <w:tcBorders>
              <w:top w:val="nil"/>
              <w:left w:val="nil"/>
              <w:bottom w:val="single" w:sz="8" w:space="0" w:color="auto"/>
              <w:right w:val="nil"/>
            </w:tcBorders>
            <w:shd w:val="clear" w:color="auto" w:fill="auto"/>
            <w:noWrap/>
            <w:vAlign w:val="bottom"/>
            <w:hideMark/>
          </w:tcPr>
          <w:p w:rsidR="007860BB" w:rsidRPr="008D59AC" w:rsidRDefault="007860BB" w:rsidP="00687E4C">
            <w:pPr>
              <w:spacing w:before="0" w:after="0" w:line="240" w:lineRule="auto"/>
              <w:jc w:val="center"/>
              <w:rPr>
                <w:rFonts w:ascii="Calibri" w:hAnsi="Calibri"/>
                <w:b/>
                <w:color w:val="000000"/>
                <w:szCs w:val="22"/>
                <w:lang w:val="en-GB" w:eastAsia="en-US"/>
              </w:rPr>
            </w:pPr>
            <w:r w:rsidRPr="008D59AC">
              <w:rPr>
                <w:rFonts w:ascii="Calibri" w:hAnsi="Calibri"/>
                <w:b/>
                <w:color w:val="000000"/>
                <w:szCs w:val="22"/>
                <w:lang w:val="en-GB" w:eastAsia="en-US"/>
              </w:rPr>
              <w:t>Medium</w:t>
            </w:r>
          </w:p>
        </w:tc>
        <w:tc>
          <w:tcPr>
            <w:tcW w:w="716" w:type="pct"/>
            <w:tcBorders>
              <w:top w:val="nil"/>
              <w:left w:val="nil"/>
              <w:bottom w:val="single" w:sz="8" w:space="0" w:color="auto"/>
              <w:right w:val="nil"/>
            </w:tcBorders>
            <w:shd w:val="clear" w:color="auto" w:fill="auto"/>
            <w:noWrap/>
            <w:vAlign w:val="bottom"/>
            <w:hideMark/>
          </w:tcPr>
          <w:p w:rsidR="007860BB" w:rsidRPr="008D59AC" w:rsidRDefault="007860BB" w:rsidP="00687E4C">
            <w:pPr>
              <w:spacing w:before="0" w:after="0" w:line="240" w:lineRule="auto"/>
              <w:jc w:val="center"/>
              <w:rPr>
                <w:rFonts w:ascii="Calibri" w:hAnsi="Calibri"/>
                <w:b/>
                <w:color w:val="000000"/>
                <w:szCs w:val="22"/>
                <w:lang w:val="en-GB" w:eastAsia="en-US"/>
              </w:rPr>
            </w:pPr>
          </w:p>
        </w:tc>
        <w:tc>
          <w:tcPr>
            <w:tcW w:w="716" w:type="pct"/>
            <w:tcBorders>
              <w:top w:val="nil"/>
              <w:left w:val="nil"/>
              <w:bottom w:val="single" w:sz="8" w:space="0" w:color="auto"/>
              <w:right w:val="nil"/>
            </w:tcBorders>
            <w:shd w:val="clear" w:color="auto" w:fill="auto"/>
            <w:noWrap/>
            <w:vAlign w:val="bottom"/>
            <w:hideMark/>
          </w:tcPr>
          <w:p w:rsidR="007860BB" w:rsidRPr="008D59AC" w:rsidRDefault="007860BB" w:rsidP="00687E4C">
            <w:pPr>
              <w:spacing w:before="0" w:after="0" w:line="240" w:lineRule="auto"/>
              <w:jc w:val="center"/>
              <w:rPr>
                <w:rFonts w:ascii="Calibri" w:hAnsi="Calibri"/>
                <w:b/>
                <w:color w:val="000000"/>
                <w:szCs w:val="22"/>
                <w:lang w:val="en-GB" w:eastAsia="en-US"/>
              </w:rPr>
            </w:pPr>
            <w:r w:rsidRPr="008D59AC">
              <w:rPr>
                <w:rFonts w:ascii="Calibri" w:hAnsi="Calibri"/>
                <w:b/>
                <w:color w:val="000000"/>
                <w:szCs w:val="22"/>
                <w:lang w:val="en-GB" w:eastAsia="en-US"/>
              </w:rPr>
              <w:t>Weak</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FVA/Total Assets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49.28</w:t>
            </w:r>
            <w:r w:rsidR="007860BB"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31.57</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28.24</w:t>
            </w:r>
            <w:r w:rsidR="007860BB" w:rsidRPr="008D59AC">
              <w:rPr>
                <w:rFonts w:ascii="Calibri" w:hAnsi="Calibri"/>
                <w:color w:val="000000"/>
                <w:szCs w:val="22"/>
                <w:lang w:val="en-GB" w:eastAsia="en-US"/>
              </w:rPr>
              <w:t xml:space="preserve"> %</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FVA1/Total Assets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23.72</w:t>
            </w:r>
            <w:r w:rsidR="007860BB"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18.82</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14.77</w:t>
            </w:r>
            <w:r w:rsidR="007860BB" w:rsidRPr="008D59AC">
              <w:rPr>
                <w:rFonts w:ascii="Calibri" w:hAnsi="Calibri"/>
                <w:color w:val="000000"/>
                <w:szCs w:val="22"/>
                <w:lang w:val="en-GB" w:eastAsia="en-US"/>
              </w:rPr>
              <w:t xml:space="preserve"> %</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FVA2/Total Assets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16.29</w:t>
            </w:r>
            <w:r w:rsidR="007860BB"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10.50</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xml:space="preserve">7.99 </w:t>
            </w:r>
            <w:r w:rsidR="007860BB" w:rsidRPr="008D59AC">
              <w:rPr>
                <w:rFonts w:ascii="Calibri" w:hAnsi="Calibri"/>
                <w:color w:val="000000"/>
                <w:szCs w:val="22"/>
                <w:lang w:val="en-GB" w:eastAsia="en-US"/>
              </w:rPr>
              <w:t>%</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FVA3/Total Assets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w:t>
            </w:r>
            <w:r w:rsidR="00983B08" w:rsidRPr="008D59AC">
              <w:rPr>
                <w:rFonts w:ascii="Calibri" w:hAnsi="Calibri"/>
                <w:color w:val="000000"/>
                <w:szCs w:val="22"/>
                <w:lang w:val="en-GB" w:eastAsia="en-US"/>
              </w:rPr>
              <w:t>.26</w:t>
            </w:r>
            <w:r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2.26</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5.48</w:t>
            </w:r>
            <w:r w:rsidR="007860BB" w:rsidRPr="008D59AC">
              <w:rPr>
                <w:rFonts w:ascii="Calibri" w:hAnsi="Calibri"/>
                <w:color w:val="000000"/>
                <w:szCs w:val="22"/>
                <w:lang w:val="en-GB" w:eastAsia="en-US"/>
              </w:rPr>
              <w:t xml:space="preserve"> %</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FVL/Total Liabilities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18.69</w:t>
            </w:r>
            <w:r w:rsidR="007860BB"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7.04</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10.81</w:t>
            </w:r>
            <w:r w:rsidR="007860BB" w:rsidRPr="008D59AC">
              <w:rPr>
                <w:rFonts w:ascii="Calibri" w:hAnsi="Calibri"/>
                <w:color w:val="000000"/>
                <w:szCs w:val="22"/>
                <w:lang w:val="en-GB" w:eastAsia="en-US"/>
              </w:rPr>
              <w:t xml:space="preserve"> %</w:t>
            </w:r>
          </w:p>
        </w:tc>
      </w:tr>
      <w:tr w:rsidR="007860BB" w:rsidRPr="008D59AC" w:rsidTr="007860BB">
        <w:trPr>
          <w:trHeight w:val="300"/>
        </w:trPr>
        <w:tc>
          <w:tcPr>
            <w:tcW w:w="1589"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FVL12/Total Liabilities</w:t>
            </w:r>
          </w:p>
        </w:tc>
        <w:tc>
          <w:tcPr>
            <w:tcW w:w="151" w:type="pct"/>
            <w:tcBorders>
              <w:top w:val="nil"/>
              <w:left w:val="nil"/>
              <w:bottom w:val="nil"/>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p>
        </w:tc>
        <w:tc>
          <w:tcPr>
            <w:tcW w:w="821"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13.91</w:t>
            </w:r>
            <w:r w:rsidR="007860BB" w:rsidRPr="008D59AC">
              <w:rPr>
                <w:rFonts w:ascii="Calibri" w:hAnsi="Calibri"/>
                <w:color w:val="000000"/>
                <w:szCs w:val="22"/>
                <w:lang w:val="en-GB" w:eastAsia="en-US"/>
              </w:rPr>
              <w:t xml:space="preserve"> %</w:t>
            </w:r>
          </w:p>
        </w:tc>
        <w:tc>
          <w:tcPr>
            <w:tcW w:w="444"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562"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6.45</w:t>
            </w:r>
            <w:r w:rsidR="007860BB" w:rsidRPr="008D59AC">
              <w:rPr>
                <w:rFonts w:ascii="Calibri" w:hAnsi="Calibri"/>
                <w:color w:val="000000"/>
                <w:szCs w:val="22"/>
                <w:lang w:val="en-GB" w:eastAsia="en-US"/>
              </w:rPr>
              <w:t xml:space="preserve"> %</w:t>
            </w:r>
          </w:p>
        </w:tc>
        <w:tc>
          <w:tcPr>
            <w:tcW w:w="716" w:type="pct"/>
            <w:tcBorders>
              <w:top w:val="nil"/>
              <w:left w:val="nil"/>
              <w:bottom w:val="nil"/>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p>
        </w:tc>
        <w:tc>
          <w:tcPr>
            <w:tcW w:w="716" w:type="pct"/>
            <w:tcBorders>
              <w:top w:val="nil"/>
              <w:left w:val="nil"/>
              <w:bottom w:val="nil"/>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8.05</w:t>
            </w:r>
            <w:r w:rsidR="007860BB" w:rsidRPr="008D59AC">
              <w:rPr>
                <w:rFonts w:ascii="Calibri" w:hAnsi="Calibri"/>
                <w:color w:val="000000"/>
                <w:szCs w:val="22"/>
                <w:lang w:val="en-GB" w:eastAsia="en-US"/>
              </w:rPr>
              <w:t xml:space="preserve"> %</w:t>
            </w:r>
          </w:p>
        </w:tc>
      </w:tr>
      <w:tr w:rsidR="007860BB" w:rsidRPr="008D59AC" w:rsidTr="007860BB">
        <w:trPr>
          <w:trHeight w:val="315"/>
        </w:trPr>
        <w:tc>
          <w:tcPr>
            <w:tcW w:w="1589"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FVL3/Total Liabilities</w:t>
            </w:r>
          </w:p>
        </w:tc>
        <w:tc>
          <w:tcPr>
            <w:tcW w:w="151" w:type="pct"/>
            <w:tcBorders>
              <w:top w:val="nil"/>
              <w:left w:val="nil"/>
              <w:bottom w:val="single" w:sz="8" w:space="0" w:color="auto"/>
              <w:right w:val="nil"/>
            </w:tcBorders>
            <w:shd w:val="clear" w:color="auto" w:fill="auto"/>
            <w:noWrap/>
            <w:vAlign w:val="bottom"/>
            <w:hideMark/>
          </w:tcPr>
          <w:p w:rsidR="007860BB" w:rsidRPr="008D59AC" w:rsidRDefault="007860BB" w:rsidP="007860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821" w:type="pct"/>
            <w:tcBorders>
              <w:top w:val="nil"/>
              <w:left w:val="nil"/>
              <w:bottom w:val="single" w:sz="8" w:space="0" w:color="auto"/>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xml:space="preserve">4.77 </w:t>
            </w:r>
            <w:r w:rsidR="007860BB" w:rsidRPr="008D59AC">
              <w:rPr>
                <w:rFonts w:ascii="Calibri" w:hAnsi="Calibri"/>
                <w:color w:val="000000"/>
                <w:szCs w:val="22"/>
                <w:lang w:val="en-GB" w:eastAsia="en-US"/>
              </w:rPr>
              <w:t>%</w:t>
            </w:r>
          </w:p>
        </w:tc>
        <w:tc>
          <w:tcPr>
            <w:tcW w:w="444"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562" w:type="pct"/>
            <w:tcBorders>
              <w:top w:val="nil"/>
              <w:left w:val="nil"/>
              <w:bottom w:val="single" w:sz="8" w:space="0" w:color="auto"/>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0.58</w:t>
            </w:r>
            <w:r w:rsidR="007860BB" w:rsidRPr="008D59AC">
              <w:rPr>
                <w:rFonts w:ascii="Calibri" w:hAnsi="Calibri"/>
                <w:color w:val="000000"/>
                <w:szCs w:val="22"/>
                <w:lang w:val="en-GB" w:eastAsia="en-US"/>
              </w:rPr>
              <w:t xml:space="preserve">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7860BB"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716" w:type="pct"/>
            <w:tcBorders>
              <w:top w:val="nil"/>
              <w:left w:val="nil"/>
              <w:bottom w:val="single" w:sz="8" w:space="0" w:color="auto"/>
              <w:right w:val="nil"/>
            </w:tcBorders>
            <w:shd w:val="clear" w:color="auto" w:fill="auto"/>
            <w:noWrap/>
            <w:vAlign w:val="center"/>
            <w:hideMark/>
          </w:tcPr>
          <w:p w:rsidR="007860BB" w:rsidRPr="008D59AC" w:rsidRDefault="00983B08" w:rsidP="007860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2.77</w:t>
            </w:r>
            <w:r w:rsidR="007860BB" w:rsidRPr="008D59AC">
              <w:rPr>
                <w:rFonts w:ascii="Calibri" w:hAnsi="Calibri"/>
                <w:color w:val="000000"/>
                <w:szCs w:val="22"/>
                <w:lang w:val="en-GB" w:eastAsia="en-US"/>
              </w:rPr>
              <w:t xml:space="preserve"> %</w:t>
            </w:r>
          </w:p>
        </w:tc>
      </w:tr>
    </w:tbl>
    <w:p w:rsidR="006C0456" w:rsidRPr="008D59AC" w:rsidRDefault="006D7D09" w:rsidP="00BC2662">
      <w:pPr>
        <w:pStyle w:val="HRefBody"/>
        <w:ind w:left="0" w:firstLine="0"/>
        <w:jc w:val="both"/>
        <w:rPr>
          <w:sz w:val="20"/>
          <w:lang w:val="en-GB"/>
        </w:rPr>
      </w:pPr>
      <w:r w:rsidRPr="008D59AC">
        <w:rPr>
          <w:sz w:val="20"/>
          <w:lang w:val="en-GB"/>
        </w:rPr>
        <w:t>P</w:t>
      </w:r>
      <w:r w:rsidR="0088172D" w:rsidRPr="008D59AC">
        <w:rPr>
          <w:sz w:val="20"/>
          <w:lang w:val="en-GB"/>
        </w:rPr>
        <w:t>anel A of</w:t>
      </w:r>
      <w:r w:rsidR="00C62980" w:rsidRPr="008D59AC">
        <w:rPr>
          <w:sz w:val="20"/>
          <w:lang w:val="en-GB"/>
        </w:rPr>
        <w:t xml:space="preserve"> Table </w:t>
      </w:r>
      <w:r w:rsidR="00687A1E" w:rsidRPr="008D59AC">
        <w:rPr>
          <w:sz w:val="20"/>
          <w:lang w:val="en-GB"/>
        </w:rPr>
        <w:t>5</w:t>
      </w:r>
      <w:r w:rsidR="00C62980" w:rsidRPr="008D59AC">
        <w:rPr>
          <w:sz w:val="20"/>
          <w:lang w:val="en-GB"/>
        </w:rPr>
        <w:t xml:space="preserve"> presents the mean values of the three clusters for all of the six investor protection variables. </w:t>
      </w:r>
      <w:r w:rsidR="00BC2662" w:rsidRPr="008D59AC">
        <w:rPr>
          <w:sz w:val="20"/>
          <w:lang w:val="en-GB"/>
        </w:rPr>
        <w:t xml:space="preserve">Panel B of Table </w:t>
      </w:r>
      <w:r w:rsidR="00687A1E" w:rsidRPr="008D59AC">
        <w:rPr>
          <w:sz w:val="20"/>
          <w:lang w:val="en-GB"/>
        </w:rPr>
        <w:t>5</w:t>
      </w:r>
      <w:r w:rsidR="00BC2662" w:rsidRPr="008D59AC">
        <w:rPr>
          <w:sz w:val="20"/>
          <w:lang w:val="en-GB"/>
        </w:rPr>
        <w:t xml:space="preserve"> presents the cluster membership of all countries in the sample.</w:t>
      </w:r>
      <w:r w:rsidR="00687A1E" w:rsidRPr="008D59AC">
        <w:rPr>
          <w:sz w:val="20"/>
          <w:lang w:val="en-GB"/>
        </w:rPr>
        <w:t xml:space="preserve"> Panel C of Table 5</w:t>
      </w:r>
      <w:r w:rsidR="00206DE6" w:rsidRPr="008D59AC">
        <w:rPr>
          <w:sz w:val="20"/>
          <w:lang w:val="en-GB"/>
        </w:rPr>
        <w:t xml:space="preserve"> presents the average values for the three separate clusters.</w:t>
      </w:r>
    </w:p>
    <w:p w:rsidR="001B58B4" w:rsidRPr="008D59AC" w:rsidRDefault="001B58B4" w:rsidP="00BC2662">
      <w:pPr>
        <w:pStyle w:val="HRefBody"/>
        <w:ind w:left="0" w:firstLine="0"/>
        <w:jc w:val="both"/>
        <w:rPr>
          <w:sz w:val="20"/>
          <w:lang w:val="en-GB"/>
        </w:rPr>
      </w:pPr>
    </w:p>
    <w:p w:rsidR="001B58B4" w:rsidRPr="008D59AC" w:rsidRDefault="001B58B4" w:rsidP="00BC2662">
      <w:pPr>
        <w:pStyle w:val="HRefBody"/>
        <w:ind w:left="0" w:firstLine="0"/>
        <w:jc w:val="both"/>
        <w:rPr>
          <w:sz w:val="20"/>
          <w:lang w:val="en-GB"/>
        </w:rPr>
      </w:pPr>
    </w:p>
    <w:p w:rsidR="001B58B4" w:rsidRPr="008D59AC" w:rsidRDefault="001B58B4" w:rsidP="00BC2662">
      <w:pPr>
        <w:pStyle w:val="HRefBody"/>
        <w:ind w:left="0" w:firstLine="0"/>
        <w:jc w:val="both"/>
        <w:rPr>
          <w:sz w:val="20"/>
          <w:lang w:val="en-GB"/>
        </w:rPr>
      </w:pPr>
    </w:p>
    <w:p w:rsidR="000E5569" w:rsidRPr="008D59AC" w:rsidRDefault="000E5569" w:rsidP="00BC2662">
      <w:pPr>
        <w:pStyle w:val="HRefBody"/>
        <w:ind w:left="0" w:firstLine="0"/>
        <w:jc w:val="both"/>
        <w:rPr>
          <w:sz w:val="20"/>
          <w:lang w:val="en-GB"/>
        </w:rPr>
      </w:pPr>
    </w:p>
    <w:p w:rsidR="00AC6321" w:rsidRPr="008D59AC" w:rsidRDefault="00687A1E" w:rsidP="00617E69">
      <w:pPr>
        <w:pStyle w:val="HTable"/>
        <w:numPr>
          <w:ilvl w:val="0"/>
          <w:numId w:val="0"/>
        </w:numPr>
        <w:ind w:left="907" w:hanging="907"/>
        <w:rPr>
          <w:lang w:val="en-GB"/>
        </w:rPr>
      </w:pPr>
      <w:r w:rsidRPr="008D59AC">
        <w:rPr>
          <w:lang w:val="en-GB"/>
        </w:rPr>
        <w:lastRenderedPageBreak/>
        <w:t>Table 6</w:t>
      </w:r>
      <w:r w:rsidR="00FE6BB8" w:rsidRPr="008D59AC">
        <w:rPr>
          <w:lang w:val="en-GB"/>
        </w:rPr>
        <w:t xml:space="preserve"> Value relevance of fair values</w:t>
      </w:r>
      <w:r w:rsidR="00617E69" w:rsidRPr="008D59AC">
        <w:rPr>
          <w:lang w:val="en-GB"/>
        </w:rPr>
        <w:tab/>
      </w:r>
    </w:p>
    <w:tbl>
      <w:tblPr>
        <w:tblW w:w="7400" w:type="dxa"/>
        <w:tblInd w:w="93" w:type="dxa"/>
        <w:tblLook w:val="04A0" w:firstRow="1" w:lastRow="0" w:firstColumn="1" w:lastColumn="0" w:noHBand="0" w:noVBand="1"/>
      </w:tblPr>
      <w:tblGrid>
        <w:gridCol w:w="2769"/>
        <w:gridCol w:w="842"/>
        <w:gridCol w:w="1381"/>
        <w:gridCol w:w="905"/>
        <w:gridCol w:w="999"/>
        <w:gridCol w:w="545"/>
      </w:tblGrid>
      <w:tr w:rsidR="00BE62C9" w:rsidRPr="008D59AC" w:rsidTr="00BE62C9">
        <w:trPr>
          <w:trHeight w:val="315"/>
        </w:trPr>
        <w:tc>
          <w:tcPr>
            <w:tcW w:w="7400" w:type="dxa"/>
            <w:gridSpan w:val="6"/>
            <w:tcBorders>
              <w:top w:val="single" w:sz="8" w:space="0" w:color="auto"/>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Whole sample</w:t>
            </w:r>
          </w:p>
        </w:tc>
      </w:tr>
      <w:tr w:rsidR="00BE62C9" w:rsidRPr="008D59AC" w:rsidTr="00BE62C9">
        <w:trPr>
          <w:trHeight w:val="585"/>
        </w:trPr>
        <w:tc>
          <w:tcPr>
            <w:tcW w:w="2769" w:type="dxa"/>
            <w:vMerge w:val="restart"/>
            <w:tcBorders>
              <w:top w:val="nil"/>
              <w:left w:val="nil"/>
              <w:bottom w:val="single" w:sz="8" w:space="0" w:color="000000"/>
              <w:right w:val="nil"/>
            </w:tcBorders>
            <w:shd w:val="clear" w:color="auto" w:fill="auto"/>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Independent variables</w:t>
            </w:r>
          </w:p>
        </w:tc>
        <w:tc>
          <w:tcPr>
            <w:tcW w:w="842" w:type="dxa"/>
            <w:vMerge w:val="restart"/>
            <w:tcBorders>
              <w:top w:val="nil"/>
              <w:left w:val="nil"/>
              <w:bottom w:val="single" w:sz="8" w:space="0" w:color="000000"/>
              <w:right w:val="nil"/>
            </w:tcBorders>
            <w:shd w:val="clear" w:color="auto" w:fill="auto"/>
            <w:noWrap/>
            <w:vAlign w:val="center"/>
            <w:hideMark/>
          </w:tcPr>
          <w:p w:rsidR="00BE62C9" w:rsidRPr="008D59AC" w:rsidRDefault="00BE62C9" w:rsidP="00BE62C9">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Coeff.</w:t>
            </w:r>
          </w:p>
        </w:tc>
        <w:tc>
          <w:tcPr>
            <w:tcW w:w="1381" w:type="dxa"/>
            <w:vMerge w:val="restart"/>
            <w:tcBorders>
              <w:top w:val="nil"/>
              <w:left w:val="nil"/>
              <w:bottom w:val="single" w:sz="8" w:space="0" w:color="000000"/>
              <w:right w:val="nil"/>
            </w:tcBorders>
            <w:shd w:val="clear" w:color="auto" w:fill="auto"/>
            <w:vAlign w:val="center"/>
            <w:hideMark/>
          </w:tcPr>
          <w:p w:rsidR="00BE62C9" w:rsidRPr="008D59AC" w:rsidRDefault="00BE62C9" w:rsidP="00BE62C9">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Robust Std. Error</w:t>
            </w:r>
          </w:p>
        </w:tc>
        <w:tc>
          <w:tcPr>
            <w:tcW w:w="905" w:type="dxa"/>
            <w:vMerge w:val="restart"/>
            <w:tcBorders>
              <w:top w:val="nil"/>
              <w:left w:val="nil"/>
              <w:bottom w:val="single" w:sz="8" w:space="0" w:color="000000"/>
              <w:right w:val="nil"/>
            </w:tcBorders>
            <w:shd w:val="clear" w:color="auto" w:fill="auto"/>
            <w:noWrap/>
            <w:vAlign w:val="center"/>
            <w:hideMark/>
          </w:tcPr>
          <w:p w:rsidR="00BE62C9" w:rsidRPr="008D59AC" w:rsidRDefault="00BE62C9" w:rsidP="00BE62C9">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t-stat</w:t>
            </w:r>
          </w:p>
        </w:tc>
        <w:tc>
          <w:tcPr>
            <w:tcW w:w="999" w:type="dxa"/>
            <w:vMerge w:val="restart"/>
            <w:tcBorders>
              <w:top w:val="nil"/>
              <w:left w:val="nil"/>
              <w:bottom w:val="single" w:sz="8" w:space="0" w:color="000000"/>
              <w:right w:val="nil"/>
            </w:tcBorders>
            <w:shd w:val="clear" w:color="auto" w:fill="auto"/>
            <w:noWrap/>
            <w:vAlign w:val="center"/>
            <w:hideMark/>
          </w:tcPr>
          <w:p w:rsidR="00BE62C9" w:rsidRPr="008D59AC" w:rsidRDefault="00BE62C9" w:rsidP="00BE62C9">
            <w:pPr>
              <w:spacing w:before="0" w:after="0" w:line="240" w:lineRule="auto"/>
              <w:jc w:val="right"/>
              <w:rPr>
                <w:rFonts w:ascii="Calibri" w:hAnsi="Calibri"/>
                <w:b/>
                <w:bCs/>
                <w:color w:val="000000"/>
                <w:szCs w:val="22"/>
                <w:lang w:val="en-GB" w:eastAsia="en-US"/>
              </w:rPr>
            </w:pPr>
            <w:r w:rsidRPr="008D59AC">
              <w:rPr>
                <w:rFonts w:ascii="Calibri" w:hAnsi="Calibri"/>
                <w:b/>
                <w:bCs/>
                <w:color w:val="000000"/>
                <w:szCs w:val="22"/>
                <w:lang w:val="en-GB" w:eastAsia="en-US"/>
              </w:rPr>
              <w:t>p-value</w:t>
            </w:r>
          </w:p>
        </w:tc>
        <w:tc>
          <w:tcPr>
            <w:tcW w:w="504" w:type="dxa"/>
            <w:tcBorders>
              <w:top w:val="nil"/>
              <w:left w:val="nil"/>
              <w:bottom w:val="nil"/>
              <w:right w:val="nil"/>
            </w:tcBorders>
            <w:shd w:val="clear" w:color="auto" w:fill="auto"/>
            <w:noWrap/>
            <w:vAlign w:val="bottom"/>
            <w:hideMark/>
          </w:tcPr>
          <w:p w:rsidR="00BE62C9" w:rsidRPr="008D59AC" w:rsidRDefault="00BE62C9" w:rsidP="00BE62C9">
            <w:pPr>
              <w:spacing w:before="0" w:after="0" w:line="240" w:lineRule="auto"/>
              <w:rPr>
                <w:rFonts w:ascii="Times New Roman" w:hAnsi="Times New Roman"/>
                <w:color w:val="000000"/>
                <w:sz w:val="20"/>
                <w:szCs w:val="20"/>
                <w:lang w:val="en-GB" w:eastAsia="en-US"/>
              </w:rPr>
            </w:pPr>
          </w:p>
        </w:tc>
      </w:tr>
      <w:tr w:rsidR="00BE62C9" w:rsidRPr="008D59AC" w:rsidTr="00137F7E">
        <w:trPr>
          <w:trHeight w:val="208"/>
        </w:trPr>
        <w:tc>
          <w:tcPr>
            <w:tcW w:w="2769" w:type="dxa"/>
            <w:vMerge/>
            <w:tcBorders>
              <w:top w:val="nil"/>
              <w:left w:val="nil"/>
              <w:bottom w:val="single" w:sz="8" w:space="0" w:color="000000"/>
              <w:right w:val="nil"/>
            </w:tcBorders>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p>
        </w:tc>
        <w:tc>
          <w:tcPr>
            <w:tcW w:w="842" w:type="dxa"/>
            <w:vMerge/>
            <w:tcBorders>
              <w:top w:val="nil"/>
              <w:left w:val="nil"/>
              <w:bottom w:val="single" w:sz="8" w:space="0" w:color="000000"/>
              <w:right w:val="nil"/>
            </w:tcBorders>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p>
        </w:tc>
        <w:tc>
          <w:tcPr>
            <w:tcW w:w="1381" w:type="dxa"/>
            <w:vMerge/>
            <w:tcBorders>
              <w:top w:val="nil"/>
              <w:left w:val="nil"/>
              <w:bottom w:val="single" w:sz="8" w:space="0" w:color="000000"/>
              <w:right w:val="nil"/>
            </w:tcBorders>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p>
        </w:tc>
        <w:tc>
          <w:tcPr>
            <w:tcW w:w="905" w:type="dxa"/>
            <w:vMerge/>
            <w:tcBorders>
              <w:top w:val="nil"/>
              <w:left w:val="nil"/>
              <w:bottom w:val="single" w:sz="8" w:space="0" w:color="000000"/>
              <w:right w:val="nil"/>
            </w:tcBorders>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p>
        </w:tc>
        <w:tc>
          <w:tcPr>
            <w:tcW w:w="999" w:type="dxa"/>
            <w:vMerge/>
            <w:tcBorders>
              <w:top w:val="nil"/>
              <w:left w:val="nil"/>
              <w:bottom w:val="single" w:sz="8" w:space="0" w:color="000000"/>
              <w:right w:val="nil"/>
            </w:tcBorders>
            <w:vAlign w:val="center"/>
            <w:hideMark/>
          </w:tcPr>
          <w:p w:rsidR="00BE62C9" w:rsidRPr="008D59AC" w:rsidRDefault="00BE62C9" w:rsidP="00BE62C9">
            <w:pPr>
              <w:spacing w:before="0" w:after="0" w:line="240" w:lineRule="auto"/>
              <w:rPr>
                <w:rFonts w:ascii="Calibri" w:hAnsi="Calibri"/>
                <w:b/>
                <w:bCs/>
                <w:color w:val="000000"/>
                <w:szCs w:val="22"/>
                <w:lang w:val="en-GB" w:eastAsia="en-US"/>
              </w:rPr>
            </w:pPr>
          </w:p>
        </w:tc>
        <w:tc>
          <w:tcPr>
            <w:tcW w:w="504"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Intercept</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2.472</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1.389</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1.780</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0.075</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NFVA</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0.136</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0.041</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3.332</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0.001</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0.162</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0.043</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3.772</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0.216</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0.044</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4.914</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0.208</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0.047</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4.471</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NFVL</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-0.137</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0.043</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-3.189</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0.002</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-0.183</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0.046</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-3.991</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-0.175</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0.049</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-3.596</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EPS</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3.989</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0.500</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7.984</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Times New Roman" w:hAnsi="Times New Roman"/>
                <w:color w:val="000000"/>
                <w:sz w:val="20"/>
                <w:szCs w:val="20"/>
                <w:lang w:val="en-GB" w:eastAsia="en-US"/>
              </w:rPr>
            </w:pP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985</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Adj. R-squared</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0.837</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r>
      <w:tr w:rsidR="00BE62C9" w:rsidRPr="008D59AC" w:rsidTr="00BE62C9">
        <w:trPr>
          <w:trHeight w:val="300"/>
        </w:trPr>
        <w:tc>
          <w:tcPr>
            <w:tcW w:w="276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Country</w:t>
            </w:r>
          </w:p>
        </w:tc>
        <w:tc>
          <w:tcPr>
            <w:tcW w:w="842"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Yes</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r>
      <w:tr w:rsidR="00BE62C9" w:rsidRPr="008D59AC" w:rsidTr="00137F7E">
        <w:trPr>
          <w:trHeight w:val="401"/>
        </w:trPr>
        <w:tc>
          <w:tcPr>
            <w:tcW w:w="2769"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Year</w:t>
            </w:r>
          </w:p>
        </w:tc>
        <w:tc>
          <w:tcPr>
            <w:tcW w:w="842"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Yes</w:t>
            </w:r>
          </w:p>
        </w:tc>
        <w:tc>
          <w:tcPr>
            <w:tcW w:w="1381"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 </w:t>
            </w:r>
          </w:p>
        </w:tc>
        <w:tc>
          <w:tcPr>
            <w:tcW w:w="905"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 </w:t>
            </w:r>
          </w:p>
        </w:tc>
        <w:tc>
          <w:tcPr>
            <w:tcW w:w="999"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 </w:t>
            </w:r>
          </w:p>
        </w:tc>
        <w:tc>
          <w:tcPr>
            <w:tcW w:w="504"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 </w:t>
            </w:r>
          </w:p>
        </w:tc>
      </w:tr>
      <w:tr w:rsidR="00BE62C9" w:rsidRPr="008D59AC" w:rsidTr="00BE62C9">
        <w:trPr>
          <w:trHeight w:val="315"/>
        </w:trPr>
        <w:tc>
          <w:tcPr>
            <w:tcW w:w="2769"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842"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 </w:t>
            </w:r>
          </w:p>
        </w:tc>
        <w:tc>
          <w:tcPr>
            <w:tcW w:w="1381"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b/>
                <w:bCs/>
                <w:color w:val="000000"/>
                <w:szCs w:val="22"/>
                <w:lang w:val="en-GB" w:eastAsia="en-US"/>
              </w:rPr>
            </w:pPr>
            <w:r w:rsidRPr="008D59AC">
              <w:rPr>
                <w:b/>
                <w:bCs/>
                <w:color w:val="000000"/>
                <w:szCs w:val="22"/>
                <w:lang w:val="en-GB" w:eastAsia="en-US"/>
              </w:rPr>
              <w:t>Difference</w:t>
            </w:r>
          </w:p>
        </w:tc>
        <w:tc>
          <w:tcPr>
            <w:tcW w:w="905"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b/>
                <w:bCs/>
                <w:color w:val="000000"/>
                <w:szCs w:val="22"/>
                <w:lang w:val="en-GB" w:eastAsia="en-US"/>
              </w:rPr>
            </w:pPr>
            <w:r w:rsidRPr="008D59AC">
              <w:rPr>
                <w:b/>
                <w:bCs/>
                <w:color w:val="000000"/>
                <w:szCs w:val="22"/>
                <w:lang w:val="en-GB" w:eastAsia="en-US"/>
              </w:rPr>
              <w:t>F-stat</w:t>
            </w:r>
          </w:p>
        </w:tc>
        <w:tc>
          <w:tcPr>
            <w:tcW w:w="999"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right"/>
              <w:rPr>
                <w:b/>
                <w:bCs/>
                <w:color w:val="000000"/>
                <w:szCs w:val="22"/>
                <w:lang w:val="en-GB" w:eastAsia="en-US"/>
              </w:rPr>
            </w:pPr>
            <w:r w:rsidRPr="008D59AC">
              <w:rPr>
                <w:b/>
                <w:bCs/>
                <w:color w:val="000000"/>
                <w:szCs w:val="22"/>
                <w:lang w:val="en-GB" w:eastAsia="en-US"/>
              </w:rPr>
              <w:t>p-value</w:t>
            </w:r>
          </w:p>
        </w:tc>
        <w:tc>
          <w:tcPr>
            <w:tcW w:w="504"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b/>
                <w:bCs/>
                <w:color w:val="000000"/>
                <w:szCs w:val="22"/>
                <w:lang w:val="en-GB" w:eastAsia="en-US"/>
              </w:rPr>
            </w:pPr>
            <w:r w:rsidRPr="008D59AC">
              <w:rPr>
                <w:b/>
                <w:bCs/>
                <w:color w:val="000000"/>
                <w:szCs w:val="22"/>
                <w:lang w:val="en-GB" w:eastAsia="en-US"/>
              </w:rPr>
              <w:t> </w:t>
            </w:r>
          </w:p>
        </w:tc>
      </w:tr>
      <w:tr w:rsidR="00BE62C9" w:rsidRPr="008D59AC" w:rsidTr="00BE62C9">
        <w:trPr>
          <w:trHeight w:val="300"/>
        </w:trPr>
        <w:tc>
          <w:tcPr>
            <w:tcW w:w="3611" w:type="dxa"/>
            <w:gridSpan w:val="2"/>
            <w:tcBorders>
              <w:top w:val="single" w:sz="8" w:space="0" w:color="auto"/>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FVA1 = FVA2</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0.054</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10.421</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0.001</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w:t>
            </w:r>
          </w:p>
        </w:tc>
      </w:tr>
      <w:tr w:rsidR="00BE62C9" w:rsidRPr="008D59AC" w:rsidTr="00BE62C9">
        <w:trPr>
          <w:trHeight w:val="300"/>
        </w:trPr>
        <w:tc>
          <w:tcPr>
            <w:tcW w:w="3611" w:type="dxa"/>
            <w:gridSpan w:val="2"/>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FVA1 = FVA3</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0.048</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5.838</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0.016</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3611" w:type="dxa"/>
            <w:gridSpan w:val="2"/>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FVA2 = FVA3</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0.006</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0.129</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0.719</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p>
        </w:tc>
      </w:tr>
      <w:tr w:rsidR="00BE62C9" w:rsidRPr="008D59AC" w:rsidTr="00BE62C9">
        <w:trPr>
          <w:trHeight w:val="300"/>
        </w:trPr>
        <w:tc>
          <w:tcPr>
            <w:tcW w:w="3611" w:type="dxa"/>
            <w:gridSpan w:val="2"/>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FVL12 = FVL3</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0.047</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5.904</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0.015</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 w:val="20"/>
                <w:szCs w:val="20"/>
                <w:lang w:val="en-GB" w:eastAsia="en-US"/>
              </w:rPr>
            </w:pPr>
            <w:r w:rsidRPr="008D59AC">
              <w:rPr>
                <w:color w:val="000000"/>
                <w:sz w:val="20"/>
                <w:szCs w:val="20"/>
                <w:lang w:val="en-GB" w:eastAsia="en-US"/>
              </w:rPr>
              <w:t>**</w:t>
            </w:r>
          </w:p>
        </w:tc>
      </w:tr>
      <w:tr w:rsidR="00BE62C9" w:rsidRPr="008D59AC" w:rsidTr="00BE62C9">
        <w:trPr>
          <w:trHeight w:val="300"/>
        </w:trPr>
        <w:tc>
          <w:tcPr>
            <w:tcW w:w="3611" w:type="dxa"/>
            <w:gridSpan w:val="2"/>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FVA1 = NFVA</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0.030</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14.830</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w:t>
            </w:r>
          </w:p>
        </w:tc>
      </w:tr>
      <w:tr w:rsidR="00BE62C9" w:rsidRPr="008D59AC" w:rsidTr="00BE62C9">
        <w:trPr>
          <w:trHeight w:val="300"/>
        </w:trPr>
        <w:tc>
          <w:tcPr>
            <w:tcW w:w="3611" w:type="dxa"/>
            <w:gridSpan w:val="2"/>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FVA2 = NFVA</w:t>
            </w:r>
          </w:p>
        </w:tc>
        <w:tc>
          <w:tcPr>
            <w:tcW w:w="1381"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0.084</w:t>
            </w:r>
          </w:p>
        </w:tc>
        <w:tc>
          <w:tcPr>
            <w:tcW w:w="905"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20.334</w:t>
            </w:r>
          </w:p>
        </w:tc>
        <w:tc>
          <w:tcPr>
            <w:tcW w:w="999"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nil"/>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w:t>
            </w:r>
          </w:p>
        </w:tc>
      </w:tr>
      <w:tr w:rsidR="00BE62C9" w:rsidRPr="008D59AC" w:rsidTr="00BE62C9">
        <w:trPr>
          <w:trHeight w:val="315"/>
        </w:trPr>
        <w:tc>
          <w:tcPr>
            <w:tcW w:w="3611" w:type="dxa"/>
            <w:gridSpan w:val="2"/>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FVA3 = NFVA</w:t>
            </w:r>
          </w:p>
        </w:tc>
        <w:tc>
          <w:tcPr>
            <w:tcW w:w="1381"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0.078</w:t>
            </w:r>
          </w:p>
        </w:tc>
        <w:tc>
          <w:tcPr>
            <w:tcW w:w="905"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center"/>
              <w:rPr>
                <w:color w:val="000000"/>
                <w:szCs w:val="22"/>
                <w:lang w:val="en-GB" w:eastAsia="en-US"/>
              </w:rPr>
            </w:pPr>
            <w:r w:rsidRPr="008D59AC">
              <w:rPr>
                <w:color w:val="000000"/>
                <w:szCs w:val="22"/>
                <w:lang w:val="en-GB" w:eastAsia="en-US"/>
              </w:rPr>
              <w:t>15.363</w:t>
            </w:r>
          </w:p>
        </w:tc>
        <w:tc>
          <w:tcPr>
            <w:tcW w:w="999"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jc w:val="right"/>
              <w:rPr>
                <w:color w:val="000000"/>
                <w:szCs w:val="22"/>
                <w:lang w:val="en-GB" w:eastAsia="en-US"/>
              </w:rPr>
            </w:pPr>
            <w:r w:rsidRPr="008D59AC">
              <w:rPr>
                <w:color w:val="000000"/>
                <w:szCs w:val="22"/>
                <w:lang w:val="en-GB" w:eastAsia="en-US"/>
              </w:rPr>
              <w:t>0.000</w:t>
            </w:r>
          </w:p>
        </w:tc>
        <w:tc>
          <w:tcPr>
            <w:tcW w:w="504" w:type="dxa"/>
            <w:tcBorders>
              <w:top w:val="nil"/>
              <w:left w:val="nil"/>
              <w:bottom w:val="single" w:sz="8" w:space="0" w:color="auto"/>
              <w:right w:val="nil"/>
            </w:tcBorders>
            <w:shd w:val="clear" w:color="auto" w:fill="auto"/>
            <w:noWrap/>
            <w:vAlign w:val="center"/>
            <w:hideMark/>
          </w:tcPr>
          <w:p w:rsidR="00BE62C9" w:rsidRPr="008D59AC" w:rsidRDefault="00BE62C9" w:rsidP="00BE62C9">
            <w:pPr>
              <w:spacing w:before="0" w:after="0" w:line="240" w:lineRule="auto"/>
              <w:rPr>
                <w:color w:val="000000"/>
                <w:szCs w:val="22"/>
                <w:lang w:val="en-GB" w:eastAsia="en-US"/>
              </w:rPr>
            </w:pPr>
            <w:r w:rsidRPr="008D59AC">
              <w:rPr>
                <w:color w:val="000000"/>
                <w:szCs w:val="22"/>
                <w:lang w:val="en-GB" w:eastAsia="en-US"/>
              </w:rPr>
              <w:t>***</w:t>
            </w:r>
          </w:p>
        </w:tc>
      </w:tr>
    </w:tbl>
    <w:p w:rsidR="006E7582" w:rsidRPr="008D59AC" w:rsidRDefault="00687A1E" w:rsidP="009E5BD6">
      <w:pPr>
        <w:pStyle w:val="HRefBody"/>
        <w:ind w:left="0" w:firstLine="0"/>
        <w:jc w:val="both"/>
        <w:rPr>
          <w:sz w:val="20"/>
          <w:lang w:val="en-GB"/>
        </w:rPr>
      </w:pPr>
      <w:r w:rsidRPr="008D59AC">
        <w:rPr>
          <w:sz w:val="20"/>
          <w:lang w:val="en-GB"/>
        </w:rPr>
        <w:t>Table 6</w:t>
      </w:r>
      <w:r w:rsidR="008265B8" w:rsidRPr="008D59AC">
        <w:rPr>
          <w:sz w:val="20"/>
          <w:lang w:val="en-GB"/>
        </w:rPr>
        <w:t xml:space="preserve"> presents the results of the regression analysis.</w:t>
      </w:r>
      <w:r w:rsidR="00115D79" w:rsidRPr="008D59AC">
        <w:rPr>
          <w:sz w:val="20"/>
          <w:lang w:val="en-GB"/>
        </w:rPr>
        <w:t xml:space="preserve"> *, **, *** indicate statistical significance at the 0.10, 0.05, and 0.01 levels.</w:t>
      </w:r>
      <w:r w:rsidR="008265B8" w:rsidRPr="008D59AC">
        <w:rPr>
          <w:sz w:val="20"/>
          <w:lang w:val="en-GB"/>
        </w:rPr>
        <w:t xml:space="preserve"> Dependent variable is</w:t>
      </w:r>
      <w:r w:rsidR="008265B8" w:rsidRPr="008D59AC">
        <w:rPr>
          <w:i/>
          <w:sz w:val="20"/>
          <w:lang w:val="en-GB"/>
        </w:rPr>
        <w:t xml:space="preserve"> PRICE.</w:t>
      </w:r>
      <w:r w:rsidR="00943413" w:rsidRPr="008D59AC">
        <w:rPr>
          <w:i/>
          <w:sz w:val="20"/>
          <w:lang w:val="en-GB"/>
        </w:rPr>
        <w:t xml:space="preserve"> NFVA</w:t>
      </w:r>
      <w:r w:rsidR="00943413" w:rsidRPr="008D59AC">
        <w:rPr>
          <w:sz w:val="20"/>
          <w:lang w:val="en-GB"/>
        </w:rPr>
        <w:t xml:space="preserve"> is the non-fair value assets per share. </w:t>
      </w:r>
      <w:r w:rsidR="00943413" w:rsidRPr="008D59AC">
        <w:rPr>
          <w:i/>
          <w:sz w:val="20"/>
          <w:lang w:val="en-GB"/>
        </w:rPr>
        <w:t>FVA1, FVA2,</w:t>
      </w:r>
      <w:r w:rsidR="00943413" w:rsidRPr="008D59AC">
        <w:rPr>
          <w:sz w:val="20"/>
          <w:lang w:val="en-GB"/>
        </w:rPr>
        <w:t xml:space="preserve"> and </w:t>
      </w:r>
      <w:r w:rsidR="00943413" w:rsidRPr="008D59AC">
        <w:rPr>
          <w:i/>
          <w:sz w:val="20"/>
          <w:lang w:val="en-GB"/>
        </w:rPr>
        <w:t>FVA3</w:t>
      </w:r>
      <w:r w:rsidR="00943413" w:rsidRPr="008D59AC">
        <w:rPr>
          <w:sz w:val="20"/>
          <w:lang w:val="en-GB"/>
        </w:rPr>
        <w:t xml:space="preserve"> are fair values of assets per share for every single level of the fair value hierarchy.</w:t>
      </w:r>
      <w:r w:rsidR="00943413" w:rsidRPr="008D59AC">
        <w:rPr>
          <w:i/>
          <w:sz w:val="20"/>
          <w:lang w:val="en-GB"/>
        </w:rPr>
        <w:t xml:space="preserve"> NFVL</w:t>
      </w:r>
      <w:r w:rsidR="00943413" w:rsidRPr="008D59AC">
        <w:rPr>
          <w:sz w:val="20"/>
          <w:lang w:val="en-GB"/>
        </w:rPr>
        <w:t xml:space="preserve"> is the non-fair liabilities per share.</w:t>
      </w:r>
      <w:r w:rsidR="00E774EA" w:rsidRPr="008D59AC">
        <w:rPr>
          <w:sz w:val="20"/>
          <w:lang w:val="en-GB"/>
        </w:rPr>
        <w:t xml:space="preserve"> </w:t>
      </w:r>
      <w:r w:rsidR="00E774EA" w:rsidRPr="008D59AC">
        <w:rPr>
          <w:i/>
          <w:sz w:val="20"/>
          <w:lang w:val="en-GB"/>
        </w:rPr>
        <w:t>FVL12</w:t>
      </w:r>
      <w:r w:rsidR="00E774EA" w:rsidRPr="008D59AC">
        <w:rPr>
          <w:sz w:val="20"/>
          <w:lang w:val="en-GB"/>
        </w:rPr>
        <w:t xml:space="preserve"> is the total of level 1 and level 2 fair value liabilities per share and </w:t>
      </w:r>
      <w:r w:rsidR="00E774EA" w:rsidRPr="008D59AC">
        <w:rPr>
          <w:i/>
          <w:sz w:val="20"/>
          <w:lang w:val="en-GB"/>
        </w:rPr>
        <w:t>FVL3</w:t>
      </w:r>
      <w:r w:rsidR="00E774EA" w:rsidRPr="008D59AC">
        <w:rPr>
          <w:sz w:val="20"/>
          <w:lang w:val="en-GB"/>
        </w:rPr>
        <w:t xml:space="preserve"> is level 3 fair value liabilities per share</w:t>
      </w:r>
      <w:r w:rsidR="00943413" w:rsidRPr="008D59AC">
        <w:rPr>
          <w:sz w:val="20"/>
          <w:lang w:val="en-GB"/>
        </w:rPr>
        <w:t xml:space="preserve">. </w:t>
      </w:r>
      <w:r w:rsidR="00943413" w:rsidRPr="008D59AC">
        <w:rPr>
          <w:i/>
          <w:sz w:val="20"/>
          <w:lang w:val="en-GB"/>
        </w:rPr>
        <w:t>EPS</w:t>
      </w:r>
      <w:r w:rsidR="00943413" w:rsidRPr="008D59AC">
        <w:rPr>
          <w:sz w:val="20"/>
          <w:lang w:val="en-GB"/>
        </w:rPr>
        <w:t xml:space="preserve"> is the earnings per share excluding extraordinary items.</w:t>
      </w:r>
      <w:r w:rsidR="000A3897" w:rsidRPr="008D59AC">
        <w:rPr>
          <w:sz w:val="20"/>
          <w:lang w:val="en-GB"/>
        </w:rPr>
        <w:t xml:space="preserve"> Country and year fixed effects are used in the regression.</w:t>
      </w:r>
      <w:r w:rsidR="00B34070" w:rsidRPr="008D59AC">
        <w:rPr>
          <w:sz w:val="20"/>
          <w:szCs w:val="20"/>
          <w:lang w:val="en-GB"/>
        </w:rPr>
        <w:t xml:space="preserve"> The within model differences in coefficients are tested with Wald’s test. </w:t>
      </w:r>
      <w:r w:rsidR="008265B8" w:rsidRPr="008D59AC">
        <w:rPr>
          <w:sz w:val="20"/>
          <w:lang w:val="en-GB"/>
        </w:rPr>
        <w:t xml:space="preserve">The standard errors </w:t>
      </w:r>
      <w:r w:rsidR="00A24A75" w:rsidRPr="008D59AC">
        <w:rPr>
          <w:sz w:val="20"/>
          <w:lang w:val="en-GB"/>
        </w:rPr>
        <w:t>are adjusted</w:t>
      </w:r>
      <w:r w:rsidR="008265B8" w:rsidRPr="008D59AC">
        <w:rPr>
          <w:sz w:val="20"/>
          <w:lang w:val="en-GB"/>
        </w:rPr>
        <w:t xml:space="preserve"> using White cross-section standard error</w:t>
      </w:r>
      <w:r w:rsidR="003B609D" w:rsidRPr="008D59AC">
        <w:rPr>
          <w:sz w:val="20"/>
          <w:lang w:val="en-GB"/>
        </w:rPr>
        <w:t>s &amp; covariance correction.</w:t>
      </w:r>
    </w:p>
    <w:p w:rsidR="00D01AB8" w:rsidRPr="008D59AC" w:rsidRDefault="00D01AB8" w:rsidP="00320042">
      <w:pPr>
        <w:pStyle w:val="HRefBody"/>
        <w:ind w:left="0" w:firstLine="0"/>
        <w:jc w:val="both"/>
        <w:rPr>
          <w:sz w:val="20"/>
          <w:lang w:val="en-GB"/>
        </w:rPr>
        <w:sectPr w:rsidR="00D01AB8" w:rsidRPr="008D59AC" w:rsidSect="00880DAB">
          <w:headerReference w:type="default" r:id="rId11"/>
          <w:pgSz w:w="11907" w:h="16840"/>
          <w:pgMar w:top="1440" w:right="1440" w:bottom="1440" w:left="1440" w:header="567" w:footer="0" w:gutter="0"/>
          <w:pgNumType w:start="1"/>
          <w:cols w:space="720"/>
          <w:formProt w:val="0"/>
          <w:docGrid w:linePitch="299"/>
        </w:sectPr>
      </w:pPr>
    </w:p>
    <w:p w:rsidR="00417620" w:rsidRPr="008D59AC" w:rsidRDefault="00687A1E" w:rsidP="007D51F9">
      <w:pPr>
        <w:pStyle w:val="HTable"/>
        <w:numPr>
          <w:ilvl w:val="0"/>
          <w:numId w:val="0"/>
        </w:numPr>
        <w:rPr>
          <w:lang w:val="en-GB"/>
        </w:rPr>
      </w:pPr>
      <w:r w:rsidRPr="008D59AC">
        <w:rPr>
          <w:lang w:val="en-GB"/>
        </w:rPr>
        <w:lastRenderedPageBreak/>
        <w:t>Table 7</w:t>
      </w:r>
      <w:r w:rsidR="00417620" w:rsidRPr="008D59AC">
        <w:rPr>
          <w:lang w:val="en-GB"/>
        </w:rPr>
        <w:t xml:space="preserve"> Value rel</w:t>
      </w:r>
      <w:r w:rsidR="00D42CF0" w:rsidRPr="008D59AC">
        <w:rPr>
          <w:lang w:val="en-GB"/>
        </w:rPr>
        <w:t xml:space="preserve">evance of fair values </w:t>
      </w:r>
      <w:r w:rsidR="00417620" w:rsidRPr="008D59AC">
        <w:rPr>
          <w:lang w:val="en-GB"/>
        </w:rPr>
        <w:t>in different investor protection environments.</w:t>
      </w:r>
    </w:p>
    <w:tbl>
      <w:tblPr>
        <w:tblW w:w="14527" w:type="dxa"/>
        <w:tblInd w:w="-34" w:type="dxa"/>
        <w:tblLook w:val="04A0" w:firstRow="1" w:lastRow="0" w:firstColumn="1" w:lastColumn="0" w:noHBand="0" w:noVBand="1"/>
      </w:tblPr>
      <w:tblGrid>
        <w:gridCol w:w="1550"/>
        <w:gridCol w:w="785"/>
        <w:gridCol w:w="1169"/>
        <w:gridCol w:w="830"/>
        <w:gridCol w:w="880"/>
        <w:gridCol w:w="755"/>
        <w:gridCol w:w="785"/>
        <w:gridCol w:w="1169"/>
        <w:gridCol w:w="830"/>
        <w:gridCol w:w="880"/>
        <w:gridCol w:w="730"/>
        <w:gridCol w:w="785"/>
        <w:gridCol w:w="1169"/>
        <w:gridCol w:w="785"/>
        <w:gridCol w:w="880"/>
        <w:gridCol w:w="545"/>
      </w:tblGrid>
      <w:tr w:rsidR="00137F7E" w:rsidRPr="008D59AC" w:rsidTr="00C815E9">
        <w:trPr>
          <w:trHeight w:val="315"/>
        </w:trPr>
        <w:tc>
          <w:tcPr>
            <w:tcW w:w="0" w:type="auto"/>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0" w:type="auto"/>
            <w:gridSpan w:val="4"/>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 protection</w:t>
            </w:r>
          </w:p>
        </w:tc>
        <w:tc>
          <w:tcPr>
            <w:tcW w:w="755" w:type="dxa"/>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0" w:type="auto"/>
            <w:gridSpan w:val="4"/>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Medium protection</w:t>
            </w:r>
          </w:p>
        </w:tc>
        <w:tc>
          <w:tcPr>
            <w:tcW w:w="730" w:type="dxa"/>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gridSpan w:val="4"/>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 protection</w:t>
            </w:r>
          </w:p>
        </w:tc>
        <w:tc>
          <w:tcPr>
            <w:tcW w:w="0" w:type="auto"/>
            <w:tcBorders>
              <w:top w:val="single" w:sz="8" w:space="0" w:color="auto"/>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137F7E" w:rsidRPr="008D59AC" w:rsidTr="00C815E9">
        <w:trPr>
          <w:trHeight w:val="585"/>
        </w:trPr>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Independent variables</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755"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730"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0" w:type="auto"/>
            <w:vMerge w:val="restart"/>
            <w:tcBorders>
              <w:top w:val="nil"/>
              <w:left w:val="nil"/>
              <w:bottom w:val="single" w:sz="8" w:space="0" w:color="000000"/>
              <w:right w:val="nil"/>
            </w:tcBorders>
            <w:shd w:val="clear" w:color="auto" w:fill="auto"/>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315"/>
        </w:trPr>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755"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730"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vMerge/>
            <w:tcBorders>
              <w:top w:val="nil"/>
              <w:left w:val="nil"/>
              <w:bottom w:val="single" w:sz="8" w:space="0" w:color="000000"/>
              <w:right w:val="nil"/>
            </w:tcBorders>
            <w:vAlign w:val="center"/>
            <w:hideMark/>
          </w:tcPr>
          <w:p w:rsidR="00137F7E" w:rsidRPr="008D59AC" w:rsidRDefault="00137F7E" w:rsidP="00137F7E">
            <w:pPr>
              <w:spacing w:before="0" w:after="0" w:line="240" w:lineRule="auto"/>
              <w:rPr>
                <w:rFonts w:ascii="Calibri" w:hAnsi="Calibri"/>
                <w:color w:val="000000"/>
                <w:szCs w:val="22"/>
                <w:lang w:val="en-GB" w:eastAsia="en-US"/>
              </w:rPr>
            </w:pP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137F7E" w:rsidRPr="008D59AC" w:rsidTr="00C815E9">
        <w:trPr>
          <w:trHeight w:val="79"/>
        </w:trPr>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55"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30"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Intercept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2.409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1.354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1.780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0.076</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6.229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3.257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1.913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0.058</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r w:rsidRPr="008D59AC">
              <w:rPr>
                <w:color w:val="000000"/>
                <w:sz w:val="20"/>
                <w:szCs w:val="20"/>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-0.347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1.553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-0.224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0.823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NFVA</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0.182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0.057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3.191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0.002</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0.410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0.100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4.098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0.049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0.055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0.892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0.373</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0.198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0.059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3.355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0.001</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0.428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0.108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3.973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0.194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0.075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2.591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0.010</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r w:rsidRPr="008D59AC">
              <w:rPr>
                <w:color w:val="000000"/>
                <w:sz w:val="20"/>
                <w:szCs w:val="20"/>
                <w:lang w:val="en-GB" w:eastAsia="en-US"/>
              </w:rPr>
              <w:t>**</w:t>
            </w: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0.247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0.060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4.137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0.476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0.117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4.065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0.006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0.083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0.077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0.939</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0.211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0.059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3.546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0.239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0.107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2.236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0.027</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-0.033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0.101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-0.323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0.747</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NFVL</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-0.179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0.059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-3.010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0.003</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-0.448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0.110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-4.066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-0.028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0.062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-0.452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0.652</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-0.205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0.062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-3.304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0.001</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-0.461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0.113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-4.065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0.106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0.097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1.097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0.274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-0.191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0.061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-3.136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0.002</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0.336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0.307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1.094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0.276</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0.118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0.097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1.223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0.223</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EPS</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3.999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0.564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7.096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4.722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1.486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3.177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0.002</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3.790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0.859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4.413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r>
      <w:tr w:rsidR="00137F7E" w:rsidRPr="008D59AC" w:rsidTr="00C815E9">
        <w:trPr>
          <w:trHeight w:val="199"/>
        </w:trPr>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55"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30"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569</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55"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146</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30"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270</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300"/>
        </w:trPr>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Adj. R-squared</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0.883</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gridSpan w:val="2"/>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0.808</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30" w:type="dxa"/>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0.679</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300"/>
        </w:trPr>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Country</w:t>
            </w: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55" w:type="dxa"/>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730" w:type="dxa"/>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499"/>
        </w:trPr>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Year</w:t>
            </w: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755" w:type="dxa"/>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730" w:type="dxa"/>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0" w:type="auto"/>
            <w:tcBorders>
              <w:top w:val="nil"/>
              <w:left w:val="nil"/>
              <w:bottom w:val="single" w:sz="4" w:space="0" w:color="auto"/>
              <w:right w:val="nil"/>
            </w:tcBorders>
            <w:shd w:val="clear" w:color="auto" w:fill="auto"/>
            <w:noWrap/>
            <w:hideMark/>
          </w:tcPr>
          <w:p w:rsidR="00137F7E" w:rsidRPr="008D59AC" w:rsidRDefault="00137F7E" w:rsidP="00C815E9">
            <w:pPr>
              <w:spacing w:before="0" w:after="0" w:line="240" w:lineRule="auto"/>
              <w:jc w:val="center"/>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c>
          <w:tcPr>
            <w:tcW w:w="0" w:type="auto"/>
            <w:tcBorders>
              <w:top w:val="nil"/>
              <w:left w:val="nil"/>
              <w:bottom w:val="single" w:sz="4" w:space="0" w:color="auto"/>
              <w:right w:val="nil"/>
            </w:tcBorders>
            <w:shd w:val="clear" w:color="auto" w:fill="auto"/>
            <w:noWrap/>
            <w:vAlign w:val="bottom"/>
            <w:hideMark/>
          </w:tcPr>
          <w:p w:rsidR="00137F7E" w:rsidRPr="008D59AC" w:rsidRDefault="00137F7E" w:rsidP="00137F7E">
            <w:pPr>
              <w:spacing w:before="0" w:after="0" w:line="240" w:lineRule="auto"/>
              <w:rPr>
                <w:rFonts w:ascii="Times New Roman" w:hAnsi="Times New Roman"/>
                <w:color w:val="000000"/>
                <w:sz w:val="20"/>
                <w:szCs w:val="20"/>
                <w:lang w:val="en-GB" w:eastAsia="en-US"/>
              </w:rPr>
            </w:pPr>
          </w:p>
        </w:tc>
      </w:tr>
      <w:tr w:rsidR="00137F7E" w:rsidRPr="008D59AC" w:rsidTr="00C815E9">
        <w:trPr>
          <w:trHeight w:val="80"/>
        </w:trPr>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Difference</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F-stat</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755"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Difference</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F-stat</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730"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Difference</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F-stat</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 = FVA2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0.049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8.204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0.004</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r w:rsidRPr="008D59AC">
              <w:rPr>
                <w:color w:val="000000"/>
                <w:sz w:val="20"/>
                <w:szCs w:val="20"/>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0.048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0.423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0.517</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0.188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4.775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0.030</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r w:rsidRPr="008D59AC">
              <w:rPr>
                <w:color w:val="000000"/>
                <w:sz w:val="20"/>
                <w:szCs w:val="20"/>
                <w:lang w:val="en-GB" w:eastAsia="en-US"/>
              </w:rPr>
              <w:t>**</w:t>
            </w: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 = FVA3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0.013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0.532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0.466</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0.189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7.741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0.001</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0.227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7.894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r w:rsidRPr="008D59AC">
              <w:rPr>
                <w:color w:val="000000"/>
                <w:sz w:val="20"/>
                <w:szCs w:val="20"/>
                <w:lang w:val="en-GB" w:eastAsia="en-US"/>
              </w:rPr>
              <w:t>***</w:t>
            </w: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 = FVA3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0.036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4.376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0.037</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0.238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10.238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0.002</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0.039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0.37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0.544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 = FVL3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0.014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0.519</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0.472</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0.797</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5.512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0.020</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0.012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0.155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0.694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 = NFVA</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0.016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3.892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0.049</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0.018</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1.101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0.296</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0.146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9.371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0.002</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r>
      <w:tr w:rsidR="00137F7E" w:rsidRPr="008D59AC" w:rsidTr="00C815E9">
        <w:trPr>
          <w:trHeight w:val="300"/>
        </w:trPr>
        <w:tc>
          <w:tcPr>
            <w:tcW w:w="0" w:type="auto"/>
            <w:gridSpan w:val="2"/>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 = NFVA</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0.065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13.401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755"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0.066</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1.075</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0.302</w:t>
            </w:r>
          </w:p>
        </w:tc>
        <w:tc>
          <w:tcPr>
            <w:tcW w:w="730" w:type="dxa"/>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bottom"/>
            <w:hideMark/>
          </w:tcPr>
          <w:p w:rsidR="00137F7E" w:rsidRPr="008D59AC" w:rsidRDefault="00137F7E" w:rsidP="00137F7E">
            <w:pPr>
              <w:spacing w:before="0" w:after="0" w:line="240" w:lineRule="auto"/>
              <w:rPr>
                <w:color w:val="000000"/>
                <w:sz w:val="20"/>
                <w:szCs w:val="20"/>
                <w:lang w:val="en-GB" w:eastAsia="en-US"/>
              </w:rPr>
            </w:pP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0.043</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0.561</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0.454</w:t>
            </w:r>
          </w:p>
        </w:tc>
        <w:tc>
          <w:tcPr>
            <w:tcW w:w="0" w:type="auto"/>
            <w:tcBorders>
              <w:top w:val="nil"/>
              <w:left w:val="nil"/>
              <w:bottom w:val="nil"/>
              <w:right w:val="nil"/>
            </w:tcBorders>
            <w:shd w:val="clear" w:color="auto" w:fill="auto"/>
            <w:noWrap/>
            <w:vAlign w:val="center"/>
            <w:hideMark/>
          </w:tcPr>
          <w:p w:rsidR="00137F7E" w:rsidRPr="008D59AC" w:rsidRDefault="00137F7E" w:rsidP="00137F7E">
            <w:pPr>
              <w:spacing w:before="0" w:after="0" w:line="240" w:lineRule="auto"/>
              <w:rPr>
                <w:color w:val="000000"/>
                <w:sz w:val="20"/>
                <w:szCs w:val="20"/>
                <w:lang w:val="en-GB" w:eastAsia="en-US"/>
              </w:rPr>
            </w:pPr>
          </w:p>
        </w:tc>
      </w:tr>
      <w:tr w:rsidR="00137F7E" w:rsidRPr="008D59AC" w:rsidTr="00C815E9">
        <w:trPr>
          <w:trHeight w:val="315"/>
        </w:trPr>
        <w:tc>
          <w:tcPr>
            <w:tcW w:w="0" w:type="auto"/>
            <w:gridSpan w:val="2"/>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 = NFVA</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0.029</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2.613</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0.107</w:t>
            </w:r>
          </w:p>
        </w:tc>
        <w:tc>
          <w:tcPr>
            <w:tcW w:w="755"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0.171</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7.093</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0.009</w:t>
            </w:r>
          </w:p>
        </w:tc>
        <w:tc>
          <w:tcPr>
            <w:tcW w:w="730" w:type="dxa"/>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 </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0.082</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center"/>
              <w:rPr>
                <w:color w:val="000000"/>
                <w:szCs w:val="22"/>
                <w:lang w:val="en-GB" w:eastAsia="en-US"/>
              </w:rPr>
            </w:pPr>
            <w:r w:rsidRPr="008D59AC">
              <w:rPr>
                <w:color w:val="000000"/>
                <w:szCs w:val="22"/>
                <w:lang w:val="en-GB" w:eastAsia="en-US"/>
              </w:rPr>
              <w:t>1.596</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jc w:val="right"/>
              <w:rPr>
                <w:color w:val="000000"/>
                <w:szCs w:val="22"/>
                <w:lang w:val="en-GB" w:eastAsia="en-US"/>
              </w:rPr>
            </w:pPr>
            <w:r w:rsidRPr="008D59AC">
              <w:rPr>
                <w:color w:val="000000"/>
                <w:szCs w:val="22"/>
                <w:lang w:val="en-GB" w:eastAsia="en-US"/>
              </w:rPr>
              <w:t>0.208</w:t>
            </w:r>
          </w:p>
        </w:tc>
        <w:tc>
          <w:tcPr>
            <w:tcW w:w="0" w:type="auto"/>
            <w:tcBorders>
              <w:top w:val="nil"/>
              <w:left w:val="nil"/>
              <w:bottom w:val="single" w:sz="8" w:space="0" w:color="auto"/>
              <w:right w:val="nil"/>
            </w:tcBorders>
            <w:shd w:val="clear" w:color="auto" w:fill="auto"/>
            <w:noWrap/>
            <w:vAlign w:val="center"/>
            <w:hideMark/>
          </w:tcPr>
          <w:p w:rsidR="00137F7E" w:rsidRPr="008D59AC" w:rsidRDefault="00137F7E" w:rsidP="00137F7E">
            <w:pPr>
              <w:spacing w:before="0" w:after="0" w:line="240" w:lineRule="auto"/>
              <w:rPr>
                <w:color w:val="000000"/>
                <w:szCs w:val="22"/>
                <w:lang w:val="en-GB" w:eastAsia="en-US"/>
              </w:rPr>
            </w:pPr>
            <w:r w:rsidRPr="008D59AC">
              <w:rPr>
                <w:color w:val="000000"/>
                <w:szCs w:val="22"/>
                <w:lang w:val="en-GB" w:eastAsia="en-US"/>
              </w:rPr>
              <w:t> </w:t>
            </w:r>
          </w:p>
        </w:tc>
      </w:tr>
    </w:tbl>
    <w:p w:rsidR="00417620" w:rsidRPr="008D59AC" w:rsidRDefault="00687A1E" w:rsidP="00AB2D9B">
      <w:pPr>
        <w:pStyle w:val="HRefBody"/>
        <w:ind w:left="0" w:firstLine="0"/>
        <w:jc w:val="both"/>
        <w:rPr>
          <w:sz w:val="20"/>
          <w:lang w:val="en-GB"/>
        </w:rPr>
      </w:pPr>
      <w:r w:rsidRPr="008D59AC">
        <w:rPr>
          <w:sz w:val="20"/>
          <w:lang w:val="en-GB"/>
        </w:rPr>
        <w:lastRenderedPageBreak/>
        <w:t>Table 7</w:t>
      </w:r>
      <w:r w:rsidR="00417620" w:rsidRPr="008D59AC">
        <w:rPr>
          <w:sz w:val="20"/>
          <w:lang w:val="en-GB"/>
        </w:rPr>
        <w:t xml:space="preserve"> presents the regression results using three separate samples. The sample is split based on the investor protection environment in the firm’s home country. The variables are similar as in Table </w:t>
      </w:r>
      <w:r w:rsidRPr="008D59AC">
        <w:rPr>
          <w:sz w:val="20"/>
          <w:lang w:val="en-GB"/>
        </w:rPr>
        <w:t>6</w:t>
      </w:r>
      <w:r w:rsidR="00216FFB" w:rsidRPr="008D59AC">
        <w:rPr>
          <w:sz w:val="20"/>
          <w:lang w:val="en-GB"/>
        </w:rPr>
        <w:t>.</w:t>
      </w:r>
      <w:r w:rsidR="00417620" w:rsidRPr="008D59AC">
        <w:rPr>
          <w:sz w:val="20"/>
          <w:lang w:val="en-GB"/>
        </w:rPr>
        <w:t xml:space="preserve"> </w:t>
      </w:r>
      <w:r w:rsidR="000A3897" w:rsidRPr="008D59AC">
        <w:rPr>
          <w:sz w:val="20"/>
          <w:lang w:val="en-GB"/>
        </w:rPr>
        <w:t>Country and year fixed effects are used in the regression.</w:t>
      </w:r>
      <w:r w:rsidR="000A3897" w:rsidRPr="008D59AC">
        <w:rPr>
          <w:sz w:val="20"/>
          <w:szCs w:val="20"/>
          <w:lang w:val="en-GB"/>
        </w:rPr>
        <w:t xml:space="preserve"> </w:t>
      </w:r>
      <w:r w:rsidR="00AB2D9B" w:rsidRPr="008D59AC">
        <w:rPr>
          <w:sz w:val="20"/>
          <w:szCs w:val="20"/>
          <w:lang w:val="en-GB"/>
        </w:rPr>
        <w:t xml:space="preserve">The within model differences in coefficients are tested with Wald’s test. </w:t>
      </w:r>
      <w:r w:rsidR="00AB2D9B" w:rsidRPr="008D59AC">
        <w:rPr>
          <w:sz w:val="20"/>
          <w:lang w:val="en-GB"/>
        </w:rPr>
        <w:t>The standard errors are adjusted using White cross-section standard errors &amp; covariance correction.</w:t>
      </w:r>
    </w:p>
    <w:p w:rsidR="000E5569" w:rsidRPr="008D59AC" w:rsidRDefault="000E5569" w:rsidP="00AB2D9B">
      <w:pPr>
        <w:pStyle w:val="HRefBody"/>
        <w:ind w:left="0" w:firstLine="0"/>
        <w:jc w:val="both"/>
        <w:rPr>
          <w:sz w:val="20"/>
          <w:lang w:val="en-GB"/>
        </w:rPr>
      </w:pPr>
    </w:p>
    <w:p w:rsidR="00967264" w:rsidRPr="008D59AC" w:rsidRDefault="00687A1E" w:rsidP="00967264">
      <w:pPr>
        <w:pStyle w:val="HTable"/>
        <w:numPr>
          <w:ilvl w:val="0"/>
          <w:numId w:val="0"/>
        </w:numPr>
        <w:ind w:left="907" w:hanging="907"/>
        <w:rPr>
          <w:lang w:val="en-GB"/>
        </w:rPr>
      </w:pPr>
      <w:r w:rsidRPr="008D59AC">
        <w:rPr>
          <w:lang w:val="en-GB"/>
        </w:rPr>
        <w:t>Table 8</w:t>
      </w:r>
      <w:r w:rsidR="00967264" w:rsidRPr="008D59AC">
        <w:rPr>
          <w:lang w:val="en-GB"/>
        </w:rPr>
        <w:t xml:space="preserve"> Alternative regression model</w:t>
      </w:r>
    </w:p>
    <w:tbl>
      <w:tblPr>
        <w:tblW w:w="12963" w:type="dxa"/>
        <w:tblInd w:w="93" w:type="dxa"/>
        <w:tblLook w:val="04A0" w:firstRow="1" w:lastRow="0" w:firstColumn="1" w:lastColumn="0" w:noHBand="0" w:noVBand="1"/>
      </w:tblPr>
      <w:tblGrid>
        <w:gridCol w:w="1858"/>
        <w:gridCol w:w="960"/>
        <w:gridCol w:w="960"/>
        <w:gridCol w:w="960"/>
        <w:gridCol w:w="960"/>
        <w:gridCol w:w="960"/>
        <w:gridCol w:w="960"/>
        <w:gridCol w:w="960"/>
        <w:gridCol w:w="960"/>
        <w:gridCol w:w="960"/>
        <w:gridCol w:w="960"/>
        <w:gridCol w:w="960"/>
        <w:gridCol w:w="545"/>
      </w:tblGrid>
      <w:tr w:rsidR="00890DBB" w:rsidRPr="008D59AC" w:rsidTr="00890DBB">
        <w:trPr>
          <w:trHeight w:val="315"/>
        </w:trPr>
        <w:tc>
          <w:tcPr>
            <w:tcW w:w="1858" w:type="dxa"/>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1920" w:type="dxa"/>
            <w:gridSpan w:val="2"/>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Full sample</w:t>
            </w:r>
          </w:p>
        </w:tc>
        <w:tc>
          <w:tcPr>
            <w:tcW w:w="960" w:type="dxa"/>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1920" w:type="dxa"/>
            <w:gridSpan w:val="2"/>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w:t>
            </w:r>
          </w:p>
        </w:tc>
        <w:tc>
          <w:tcPr>
            <w:tcW w:w="960" w:type="dxa"/>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1920" w:type="dxa"/>
            <w:gridSpan w:val="2"/>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Medium</w:t>
            </w:r>
          </w:p>
        </w:tc>
        <w:tc>
          <w:tcPr>
            <w:tcW w:w="960" w:type="dxa"/>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c>
          <w:tcPr>
            <w:tcW w:w="1920" w:type="dxa"/>
            <w:gridSpan w:val="2"/>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w:t>
            </w:r>
          </w:p>
        </w:tc>
        <w:tc>
          <w:tcPr>
            <w:tcW w:w="545" w:type="dxa"/>
            <w:tcBorders>
              <w:top w:val="single" w:sz="8" w:space="0" w:color="auto"/>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 </w:t>
            </w:r>
          </w:p>
        </w:tc>
      </w:tr>
      <w:tr w:rsidR="00890DBB" w:rsidRPr="008D59AC" w:rsidTr="00890DBB">
        <w:trPr>
          <w:trHeight w:val="585"/>
        </w:trPr>
        <w:tc>
          <w:tcPr>
            <w:tcW w:w="1858"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Independent variables</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960"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p-value</w:t>
            </w:r>
          </w:p>
        </w:tc>
        <w:tc>
          <w:tcPr>
            <w:tcW w:w="545" w:type="dxa"/>
            <w:vMerge w:val="restart"/>
            <w:tcBorders>
              <w:top w:val="nil"/>
              <w:left w:val="nil"/>
              <w:bottom w:val="single" w:sz="8" w:space="0" w:color="000000"/>
              <w:right w:val="nil"/>
            </w:tcBorders>
            <w:shd w:val="clear" w:color="auto" w:fill="auto"/>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r>
      <w:tr w:rsidR="00890DBB" w:rsidRPr="008D59AC" w:rsidTr="00890DBB">
        <w:trPr>
          <w:trHeight w:val="315"/>
        </w:trPr>
        <w:tc>
          <w:tcPr>
            <w:tcW w:w="1858"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545" w:type="dxa"/>
            <w:vMerge/>
            <w:tcBorders>
              <w:top w:val="nil"/>
              <w:left w:val="nil"/>
              <w:bottom w:val="single" w:sz="8" w:space="0" w:color="000000"/>
              <w:right w:val="nil"/>
            </w:tcBorders>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Intercept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1.897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0.346</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5.897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9.754</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0.048</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0.495</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0.796</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NFVA</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0.321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0.379</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0.681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0.250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0.387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0.437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0.714</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0.437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0.502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0.542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0.776</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0.238</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0.001</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FVA3</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0.466</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0.441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0.502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0.361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NFVL</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-0.328</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-0.377</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-0.734</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-0.250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0.001</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FVL12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-0.458</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-0.492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-0.744</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-0.256</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FVL3</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-0.422</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-0.415</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0.090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0.813</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-0.234</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0.007</w:t>
            </w:r>
          </w:p>
        </w:tc>
        <w:tc>
          <w:tcPr>
            <w:tcW w:w="545"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w:t>
            </w:r>
          </w:p>
        </w:tc>
      </w:tr>
      <w:tr w:rsidR="00890DBB" w:rsidRPr="008D59AC" w:rsidTr="00890DBB">
        <w:trPr>
          <w:trHeight w:val="255"/>
        </w:trPr>
        <w:tc>
          <w:tcPr>
            <w:tcW w:w="1858"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985</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569</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146</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270</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Adj. R-squared</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0.679</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0.719</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0.753</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0.551</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Country</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300"/>
        </w:trPr>
        <w:tc>
          <w:tcPr>
            <w:tcW w:w="1858"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Year</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960" w:type="dxa"/>
            <w:tcBorders>
              <w:top w:val="nil"/>
              <w:left w:val="nil"/>
              <w:bottom w:val="nil"/>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c>
          <w:tcPr>
            <w:tcW w:w="545" w:type="dxa"/>
            <w:tcBorders>
              <w:top w:val="nil"/>
              <w:left w:val="nil"/>
              <w:bottom w:val="nil"/>
              <w:right w:val="nil"/>
            </w:tcBorders>
            <w:shd w:val="clear" w:color="auto" w:fill="auto"/>
            <w:noWrap/>
            <w:vAlign w:val="bottom"/>
            <w:hideMark/>
          </w:tcPr>
          <w:p w:rsidR="00890DBB" w:rsidRPr="008D59AC" w:rsidRDefault="00890DBB" w:rsidP="00890DBB">
            <w:pPr>
              <w:spacing w:before="0" w:after="0" w:line="240" w:lineRule="auto"/>
              <w:rPr>
                <w:rFonts w:ascii="Times New Roman" w:hAnsi="Times New Roman"/>
                <w:color w:val="000000"/>
                <w:sz w:val="20"/>
                <w:szCs w:val="20"/>
                <w:lang w:val="en-GB" w:eastAsia="en-US"/>
              </w:rPr>
            </w:pPr>
          </w:p>
        </w:tc>
      </w:tr>
      <w:tr w:rsidR="00890DBB" w:rsidRPr="008D59AC" w:rsidTr="00890DBB">
        <w:trPr>
          <w:trHeight w:val="95"/>
        </w:trPr>
        <w:tc>
          <w:tcPr>
            <w:tcW w:w="1858"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960"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545" w:type="dxa"/>
            <w:tcBorders>
              <w:top w:val="nil"/>
              <w:left w:val="nil"/>
              <w:bottom w:val="single" w:sz="8" w:space="0" w:color="auto"/>
              <w:right w:val="nil"/>
            </w:tcBorders>
            <w:shd w:val="clear" w:color="auto" w:fill="auto"/>
            <w:noWrap/>
            <w:vAlign w:val="center"/>
            <w:hideMark/>
          </w:tcPr>
          <w:p w:rsidR="00890DBB" w:rsidRPr="008D59AC" w:rsidRDefault="00890DBB" w:rsidP="00890DBB">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 </w:t>
            </w:r>
          </w:p>
        </w:tc>
      </w:tr>
    </w:tbl>
    <w:p w:rsidR="00967264" w:rsidRPr="008D59AC" w:rsidRDefault="00967264" w:rsidP="00967264">
      <w:pPr>
        <w:pStyle w:val="HRefBody"/>
        <w:ind w:left="0" w:firstLine="0"/>
        <w:jc w:val="both"/>
        <w:rPr>
          <w:sz w:val="20"/>
          <w:lang w:val="en-GB"/>
        </w:rPr>
      </w:pPr>
      <w:r w:rsidRPr="008D59AC">
        <w:rPr>
          <w:sz w:val="20"/>
          <w:lang w:val="en-GB"/>
        </w:rPr>
        <w:t xml:space="preserve">Table </w:t>
      </w:r>
      <w:r w:rsidR="00687A1E" w:rsidRPr="008D59AC">
        <w:rPr>
          <w:sz w:val="20"/>
          <w:lang w:val="en-GB"/>
        </w:rPr>
        <w:t>8</w:t>
      </w:r>
      <w:r w:rsidRPr="008D59AC">
        <w:rPr>
          <w:sz w:val="20"/>
          <w:lang w:val="en-GB"/>
        </w:rPr>
        <w:t xml:space="preserve"> presents the regression results using an alternative model. This model excludes the</w:t>
      </w:r>
      <w:r w:rsidRPr="008D59AC">
        <w:rPr>
          <w:i/>
          <w:sz w:val="20"/>
          <w:lang w:val="en-GB"/>
        </w:rPr>
        <w:t xml:space="preserve"> EPS</w:t>
      </w:r>
      <w:r w:rsidRPr="008D59AC">
        <w:rPr>
          <w:sz w:val="20"/>
          <w:lang w:val="en-GB"/>
        </w:rPr>
        <w:t xml:space="preserve"> variable from the original regression model. The sample is split based on the investor protection environment in the firm’s home country. The variables are similar as in Ta</w:t>
      </w:r>
      <w:r w:rsidR="00687A1E" w:rsidRPr="008D59AC">
        <w:rPr>
          <w:sz w:val="20"/>
          <w:lang w:val="en-GB"/>
        </w:rPr>
        <w:t>ble 6</w:t>
      </w:r>
      <w:r w:rsidRPr="008D59AC">
        <w:rPr>
          <w:sz w:val="20"/>
          <w:lang w:val="en-GB"/>
        </w:rPr>
        <w:t>. Country and year fixed effects are used in the regression.</w:t>
      </w:r>
      <w:r w:rsidRPr="008D59AC">
        <w:rPr>
          <w:sz w:val="20"/>
          <w:szCs w:val="20"/>
          <w:lang w:val="en-GB"/>
        </w:rPr>
        <w:t xml:space="preserve"> The within model differences in coefficients are tested with Wald’s test. </w:t>
      </w:r>
      <w:r w:rsidRPr="008D59AC">
        <w:rPr>
          <w:sz w:val="20"/>
          <w:lang w:val="en-GB"/>
        </w:rPr>
        <w:t>The standard errors are adjusted using White cross-section standard errors &amp; covariance correction</w:t>
      </w:r>
      <w:r w:rsidR="001B58B4" w:rsidRPr="008D59AC">
        <w:rPr>
          <w:sz w:val="20"/>
          <w:lang w:val="en-GB"/>
        </w:rPr>
        <w:t>.</w:t>
      </w:r>
    </w:p>
    <w:p w:rsidR="005057E2" w:rsidRPr="008D59AC" w:rsidRDefault="005057E2" w:rsidP="00967264">
      <w:pPr>
        <w:pStyle w:val="HRefBody"/>
        <w:ind w:left="0" w:firstLine="0"/>
        <w:jc w:val="both"/>
        <w:rPr>
          <w:sz w:val="20"/>
          <w:lang w:val="en-GB"/>
        </w:rPr>
      </w:pPr>
    </w:p>
    <w:p w:rsidR="005057E2" w:rsidRPr="008D59AC" w:rsidRDefault="005057E2" w:rsidP="005057E2">
      <w:pPr>
        <w:pStyle w:val="HTable"/>
        <w:numPr>
          <w:ilvl w:val="0"/>
          <w:numId w:val="0"/>
        </w:numPr>
        <w:ind w:left="907" w:hanging="907"/>
        <w:rPr>
          <w:lang w:val="en-GB"/>
        </w:rPr>
      </w:pPr>
      <w:r w:rsidRPr="008D59AC">
        <w:rPr>
          <w:lang w:val="en-GB"/>
        </w:rPr>
        <w:lastRenderedPageBreak/>
        <w:t>Table 9 Alternative cluster analysis</w:t>
      </w:r>
    </w:p>
    <w:tbl>
      <w:tblPr>
        <w:tblW w:w="5342" w:type="pct"/>
        <w:tblInd w:w="-318" w:type="dxa"/>
        <w:tblLayout w:type="fixed"/>
        <w:tblLook w:val="04A0" w:firstRow="1" w:lastRow="0" w:firstColumn="1" w:lastColumn="0" w:noHBand="0" w:noVBand="1"/>
      </w:tblPr>
      <w:tblGrid>
        <w:gridCol w:w="1503"/>
        <w:gridCol w:w="874"/>
        <w:gridCol w:w="1392"/>
        <w:gridCol w:w="784"/>
        <w:gridCol w:w="1066"/>
        <w:gridCol w:w="590"/>
        <w:gridCol w:w="1075"/>
        <w:gridCol w:w="1144"/>
        <w:gridCol w:w="781"/>
        <w:gridCol w:w="886"/>
        <w:gridCol w:w="683"/>
        <w:gridCol w:w="811"/>
        <w:gridCol w:w="1087"/>
        <w:gridCol w:w="820"/>
        <w:gridCol w:w="922"/>
        <w:gridCol w:w="551"/>
      </w:tblGrid>
      <w:tr w:rsidR="004D1188" w:rsidRPr="00513FBE" w:rsidTr="004D1188">
        <w:trPr>
          <w:trHeight w:val="225"/>
        </w:trPr>
        <w:tc>
          <w:tcPr>
            <w:tcW w:w="1521" w:type="pct"/>
            <w:gridSpan w:val="4"/>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A: Cluster membership of countries</w:t>
            </w:r>
          </w:p>
        </w:tc>
        <w:tc>
          <w:tcPr>
            <w:tcW w:w="356"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97"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59"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35"/>
        </w:trPr>
        <w:tc>
          <w:tcPr>
            <w:tcW w:w="502" w:type="pct"/>
            <w:tcBorders>
              <w:top w:val="nil"/>
              <w:left w:val="nil"/>
              <w:bottom w:val="single" w:sz="8" w:space="0" w:color="auto"/>
              <w:right w:val="nil"/>
            </w:tcBorders>
            <w:shd w:val="clear" w:color="auto" w:fill="auto"/>
            <w:noWrap/>
            <w:vAlign w:val="center"/>
            <w:hideMark/>
          </w:tcPr>
          <w:p w:rsidR="004D1188" w:rsidRPr="008D59AC" w:rsidRDefault="004D1188"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92" w:type="pct"/>
            <w:tcBorders>
              <w:top w:val="nil"/>
              <w:left w:val="nil"/>
              <w:bottom w:val="single" w:sz="8" w:space="0" w:color="auto"/>
              <w:right w:val="nil"/>
            </w:tcBorders>
            <w:shd w:val="clear" w:color="auto" w:fill="auto"/>
            <w:noWrap/>
            <w:vAlign w:val="center"/>
            <w:hideMark/>
          </w:tcPr>
          <w:p w:rsidR="004D1188" w:rsidRPr="008D59AC" w:rsidRDefault="004D1188"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465" w:type="pct"/>
            <w:tcBorders>
              <w:top w:val="nil"/>
              <w:left w:val="nil"/>
              <w:bottom w:val="single" w:sz="8" w:space="0" w:color="auto"/>
              <w:right w:val="nil"/>
            </w:tcBorders>
            <w:shd w:val="clear" w:color="auto" w:fill="auto"/>
            <w:noWrap/>
            <w:vAlign w:val="center"/>
            <w:hideMark/>
          </w:tcPr>
          <w:p w:rsidR="004D1188" w:rsidRPr="008D59AC" w:rsidRDefault="004D1188" w:rsidP="005057E2">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w:t>
            </w:r>
          </w:p>
        </w:tc>
        <w:tc>
          <w:tcPr>
            <w:tcW w:w="814" w:type="pct"/>
            <w:gridSpan w:val="3"/>
            <w:tcBorders>
              <w:top w:val="nil"/>
              <w:left w:val="nil"/>
              <w:bottom w:val="single" w:sz="8" w:space="0" w:color="auto"/>
              <w:right w:val="nil"/>
            </w:tcBorders>
            <w:shd w:val="clear" w:color="auto" w:fill="auto"/>
            <w:noWrap/>
            <w:vAlign w:val="center"/>
            <w:hideMark/>
          </w:tcPr>
          <w:p w:rsidR="004D1188" w:rsidRPr="008D59AC" w:rsidRDefault="004D1188" w:rsidP="004D1188">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 Medium</w:t>
            </w:r>
          </w:p>
        </w:tc>
        <w:tc>
          <w:tcPr>
            <w:tcW w:w="359" w:type="pct"/>
            <w:tcBorders>
              <w:top w:val="nil"/>
              <w:left w:val="nil"/>
              <w:bottom w:val="single" w:sz="8" w:space="0" w:color="auto"/>
              <w:right w:val="nil"/>
            </w:tcBorders>
            <w:shd w:val="clear" w:color="auto" w:fill="auto"/>
            <w:noWrap/>
            <w:vAlign w:val="center"/>
            <w:hideMark/>
          </w:tcPr>
          <w:p w:rsidR="004D1188" w:rsidRPr="008D59AC" w:rsidRDefault="004D1188" w:rsidP="005057E2">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w:t>
            </w:r>
          </w:p>
        </w:tc>
        <w:tc>
          <w:tcPr>
            <w:tcW w:w="382"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4D1188" w:rsidRPr="008D59AC" w:rsidRDefault="004D1188"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Australia</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Austria</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Ghana</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Bahrain</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Belgium</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Greece</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Canada</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Brazil</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Hungary</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Denmark</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Chile</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Italy</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25"/>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Finland</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France</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Kenya</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25"/>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Netherlands</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Germany</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Kuwait</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Norway</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Ireland</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Morocco</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South Africa</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Jordan</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Poland</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Sweden</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UAE</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Portugal</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Switzerland</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Russia</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UK</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Slovakia</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Spain</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25"/>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South Korea</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139"/>
        </w:trPr>
        <w:tc>
          <w:tcPr>
            <w:tcW w:w="502"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92"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465"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62"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56"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97"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59"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Turkey</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25"/>
        </w:trPr>
        <w:tc>
          <w:tcPr>
            <w:tcW w:w="1259" w:type="pct"/>
            <w:gridSpan w:val="3"/>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b/>
                <w:bCs/>
                <w:color w:val="000000"/>
                <w:szCs w:val="22"/>
                <w:lang w:val="en-GB" w:eastAsia="en-US"/>
              </w:rPr>
            </w:pPr>
            <w:r w:rsidRPr="008D59AC">
              <w:rPr>
                <w:rFonts w:ascii="Calibri" w:hAnsi="Calibri"/>
                <w:b/>
                <w:bCs/>
                <w:color w:val="000000"/>
                <w:szCs w:val="22"/>
                <w:lang w:val="en-GB" w:eastAsia="en-US"/>
              </w:rPr>
              <w:t>Panel B: Regression results</w:t>
            </w: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59"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Calibri" w:hAnsi="Calibri"/>
                <w:color w:val="000000"/>
                <w:szCs w:val="22"/>
                <w:lang w:val="en-GB" w:eastAsia="en-US"/>
              </w:rPr>
            </w:pPr>
          </w:p>
        </w:tc>
      </w:tr>
      <w:tr w:rsidR="004D1188" w:rsidRPr="008D59AC" w:rsidTr="004D1188">
        <w:trPr>
          <w:trHeight w:val="225"/>
        </w:trPr>
        <w:tc>
          <w:tcPr>
            <w:tcW w:w="502" w:type="pct"/>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1375" w:type="pct"/>
            <w:gridSpan w:val="4"/>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Strong protection</w:t>
            </w:r>
          </w:p>
        </w:tc>
        <w:tc>
          <w:tcPr>
            <w:tcW w:w="197" w:type="pct"/>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Cs w:val="22"/>
                <w:lang w:val="en-GB" w:eastAsia="en-US"/>
              </w:rPr>
            </w:pPr>
            <w:r w:rsidRPr="008D59AC">
              <w:rPr>
                <w:rFonts w:ascii="Times New Roman" w:hAnsi="Times New Roman"/>
                <w:color w:val="000000"/>
                <w:szCs w:val="22"/>
                <w:lang w:val="en-GB" w:eastAsia="en-US"/>
              </w:rPr>
              <w:t> </w:t>
            </w:r>
          </w:p>
        </w:tc>
        <w:tc>
          <w:tcPr>
            <w:tcW w:w="1298" w:type="pct"/>
            <w:gridSpan w:val="4"/>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Medium protection</w:t>
            </w:r>
          </w:p>
        </w:tc>
        <w:tc>
          <w:tcPr>
            <w:tcW w:w="228" w:type="pct"/>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1215" w:type="pct"/>
            <w:gridSpan w:val="4"/>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b/>
                <w:bCs/>
                <w:color w:val="000000"/>
                <w:szCs w:val="22"/>
                <w:lang w:val="en-GB" w:eastAsia="en-US"/>
              </w:rPr>
            </w:pPr>
            <w:r w:rsidRPr="008D59AC">
              <w:rPr>
                <w:rFonts w:ascii="Calibri" w:hAnsi="Calibri"/>
                <w:b/>
                <w:bCs/>
                <w:color w:val="000000"/>
                <w:szCs w:val="22"/>
                <w:lang w:val="en-GB" w:eastAsia="en-US"/>
              </w:rPr>
              <w:t>Weak protection</w:t>
            </w:r>
          </w:p>
        </w:tc>
        <w:tc>
          <w:tcPr>
            <w:tcW w:w="185" w:type="pct"/>
            <w:tcBorders>
              <w:top w:val="single" w:sz="8" w:space="0" w:color="auto"/>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4D1188" w:rsidRPr="008D59AC" w:rsidTr="004D1188">
        <w:trPr>
          <w:trHeight w:val="418"/>
        </w:trPr>
        <w:tc>
          <w:tcPr>
            <w:tcW w:w="502"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Independent variables</w:t>
            </w:r>
          </w:p>
        </w:tc>
        <w:tc>
          <w:tcPr>
            <w:tcW w:w="292"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465"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262"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356" w:type="pct"/>
            <w:vMerge w:val="restart"/>
            <w:tcBorders>
              <w:top w:val="nil"/>
              <w:left w:val="nil"/>
              <w:bottom w:val="single" w:sz="8" w:space="0" w:color="000000"/>
              <w:right w:val="nil"/>
            </w:tcBorders>
            <w:shd w:val="clear" w:color="auto" w:fill="auto"/>
            <w:vAlign w:val="center"/>
            <w:hideMark/>
          </w:tcPr>
          <w:p w:rsidR="005057E2" w:rsidRPr="008D59AC" w:rsidRDefault="005057E2" w:rsidP="004D1188">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382"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261"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296" w:type="pct"/>
            <w:vMerge w:val="restart"/>
            <w:tcBorders>
              <w:top w:val="nil"/>
              <w:left w:val="nil"/>
              <w:bottom w:val="single" w:sz="8" w:space="0" w:color="000000"/>
              <w:right w:val="nil"/>
            </w:tcBorders>
            <w:shd w:val="clear" w:color="auto" w:fill="auto"/>
            <w:vAlign w:val="center"/>
            <w:hideMark/>
          </w:tcPr>
          <w:p w:rsidR="005057E2" w:rsidRPr="008D59AC" w:rsidRDefault="005057E2" w:rsidP="004D1188">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Coeff.</w:t>
            </w:r>
          </w:p>
        </w:tc>
        <w:tc>
          <w:tcPr>
            <w:tcW w:w="363"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Robust Std. Error</w:t>
            </w:r>
          </w:p>
        </w:tc>
        <w:tc>
          <w:tcPr>
            <w:tcW w:w="274" w:type="pct"/>
            <w:vMerge w:val="restart"/>
            <w:tcBorders>
              <w:top w:val="nil"/>
              <w:left w:val="nil"/>
              <w:bottom w:val="single" w:sz="8" w:space="0" w:color="000000"/>
              <w:right w:val="nil"/>
            </w:tcBorders>
            <w:shd w:val="clear" w:color="auto" w:fill="auto"/>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t-stat</w:t>
            </w:r>
          </w:p>
        </w:tc>
        <w:tc>
          <w:tcPr>
            <w:tcW w:w="308" w:type="pct"/>
            <w:vMerge w:val="restart"/>
            <w:tcBorders>
              <w:top w:val="nil"/>
              <w:left w:val="nil"/>
              <w:bottom w:val="single" w:sz="8" w:space="0" w:color="000000"/>
              <w:right w:val="nil"/>
            </w:tcBorders>
            <w:shd w:val="clear" w:color="auto" w:fill="auto"/>
            <w:vAlign w:val="center"/>
            <w:hideMark/>
          </w:tcPr>
          <w:p w:rsidR="005057E2" w:rsidRPr="008D59AC" w:rsidRDefault="005057E2" w:rsidP="004D1188">
            <w:pPr>
              <w:spacing w:before="0" w:after="0" w:line="240" w:lineRule="auto"/>
              <w:jc w:val="right"/>
              <w:rPr>
                <w:rFonts w:ascii="Calibri" w:hAnsi="Calibri"/>
                <w:color w:val="000000"/>
                <w:szCs w:val="22"/>
                <w:lang w:val="en-GB" w:eastAsia="en-US"/>
              </w:rPr>
            </w:pPr>
            <w:r w:rsidRPr="008D59AC">
              <w:rPr>
                <w:rFonts w:ascii="Calibri" w:hAnsi="Calibri"/>
                <w:color w:val="000000"/>
                <w:szCs w:val="22"/>
                <w:lang w:val="en-GB" w:eastAsia="en-US"/>
              </w:rPr>
              <w:t>p-value</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109"/>
        </w:trPr>
        <w:tc>
          <w:tcPr>
            <w:tcW w:w="502"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2"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465"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2"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356"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197"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359"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382"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61"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96"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28"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c>
          <w:tcPr>
            <w:tcW w:w="271"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363"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274"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308" w:type="pct"/>
            <w:vMerge/>
            <w:tcBorders>
              <w:top w:val="nil"/>
              <w:left w:val="nil"/>
              <w:bottom w:val="single" w:sz="8" w:space="0" w:color="000000"/>
              <w:right w:val="nil"/>
            </w:tcBorders>
            <w:vAlign w:val="center"/>
            <w:hideMark/>
          </w:tcPr>
          <w:p w:rsidR="005057E2" w:rsidRPr="008D59AC" w:rsidRDefault="005057E2" w:rsidP="005057E2">
            <w:pPr>
              <w:spacing w:before="0" w:after="0" w:line="240" w:lineRule="auto"/>
              <w:rPr>
                <w:rFonts w:ascii="Calibri" w:hAnsi="Calibri"/>
                <w:color w:val="000000"/>
                <w:szCs w:val="22"/>
                <w:lang w:val="en-GB" w:eastAsia="en-US"/>
              </w:rPr>
            </w:pPr>
          </w:p>
        </w:tc>
        <w:tc>
          <w:tcPr>
            <w:tcW w:w="185"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 </w:t>
            </w: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Intercept</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2.950</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0.947</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3.116</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0.002</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8.785</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2.324</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3.780</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0.000</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 w:val="20"/>
                <w:szCs w:val="20"/>
                <w:lang w:val="en-GB" w:eastAsia="en-US"/>
              </w:rPr>
            </w:pPr>
            <w:r w:rsidRPr="008D59AC">
              <w:rPr>
                <w:color w:val="000000"/>
                <w:sz w:val="20"/>
                <w:szCs w:val="20"/>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-0.347</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1.553</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-0.224</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0.823</w:t>
            </w:r>
          </w:p>
        </w:tc>
        <w:tc>
          <w:tcPr>
            <w:tcW w:w="18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NFVA</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0.204</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0.076</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2.666</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0.008</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0.102</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0.053</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1.920</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0.056</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0.049</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0.055</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0.892</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0.373</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FVA1</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0.227</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0.079</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2.863</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0.004</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0.114</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0.058</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1.978</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0.049</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0.194</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0.075</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2.591</w:t>
            </w:r>
          </w:p>
        </w:tc>
        <w:tc>
          <w:tcPr>
            <w:tcW w:w="30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0.010</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r w:rsidRPr="008D59AC">
              <w:rPr>
                <w:color w:val="000000"/>
                <w:sz w:val="20"/>
                <w:szCs w:val="20"/>
                <w:lang w:val="en-GB" w:eastAsia="en-US"/>
              </w:rPr>
              <w:t>**</w:t>
            </w: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FVA2</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0.332</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0.086</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3.853</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0.000</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0.134</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0.056</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2.400</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0.017</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0.006</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0.083</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0.077</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0.939</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FVA3</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0.244</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0.079</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3.092</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0.002</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0.099</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0.059</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1.684</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0.093</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-0.033</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0.101</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-0.323</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0.747</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NFVL</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-0.196</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0.081</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-2.426</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0.016</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-0.115</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0.055</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-2.088</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0.038</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-0.028</w:t>
            </w:r>
          </w:p>
        </w:tc>
        <w:tc>
          <w:tcPr>
            <w:tcW w:w="363"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0.062</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-0.452</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0.652</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lastRenderedPageBreak/>
              <w:t>FVL12</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-0.271</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0.084</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-3.229</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0.001</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-0.106</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0.058</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-1.829</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0.069</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0.106</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0.097</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1.097</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0.274</w:t>
            </w:r>
          </w:p>
        </w:tc>
        <w:tc>
          <w:tcPr>
            <w:tcW w:w="18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FVL3</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-0.191</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0.081</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-2.356</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0.019</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-0.099</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0.059</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-1.679</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0.094</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 w:val="20"/>
                <w:szCs w:val="20"/>
                <w:lang w:val="en-GB" w:eastAsia="en-US"/>
              </w:rPr>
            </w:pPr>
            <w:r w:rsidRPr="008D59AC">
              <w:rPr>
                <w:color w:val="000000"/>
                <w:sz w:val="20"/>
                <w:szCs w:val="20"/>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0.118</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0.097</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1.223</w:t>
            </w:r>
          </w:p>
        </w:tc>
        <w:tc>
          <w:tcPr>
            <w:tcW w:w="308"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right"/>
              <w:rPr>
                <w:color w:val="000000"/>
                <w:szCs w:val="22"/>
                <w:lang w:val="en-GB" w:eastAsia="en-US"/>
              </w:rPr>
            </w:pPr>
            <w:r w:rsidRPr="008D59AC">
              <w:rPr>
                <w:color w:val="000000"/>
                <w:szCs w:val="22"/>
                <w:lang w:val="en-GB" w:eastAsia="en-US"/>
              </w:rPr>
              <w:t>0.223</w:t>
            </w: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EPS</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2.993</w:t>
            </w:r>
          </w:p>
        </w:tc>
        <w:tc>
          <w:tcPr>
            <w:tcW w:w="46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0.450</w:t>
            </w:r>
          </w:p>
        </w:tc>
        <w:tc>
          <w:tcPr>
            <w:tcW w:w="26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6.649</w:t>
            </w:r>
          </w:p>
        </w:tc>
        <w:tc>
          <w:tcPr>
            <w:tcW w:w="35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0.000</w:t>
            </w: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7.504</w:t>
            </w:r>
          </w:p>
        </w:tc>
        <w:tc>
          <w:tcPr>
            <w:tcW w:w="38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0.789</w:t>
            </w: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color w:val="000000"/>
                <w:szCs w:val="22"/>
                <w:lang w:val="en-GB" w:eastAsia="en-US"/>
              </w:rPr>
            </w:pPr>
            <w:r w:rsidRPr="008D59AC">
              <w:rPr>
                <w:color w:val="000000"/>
                <w:szCs w:val="22"/>
                <w:lang w:val="en-GB" w:eastAsia="en-US"/>
              </w:rPr>
              <w:t>9.516</w:t>
            </w: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0.000</w:t>
            </w:r>
          </w:p>
        </w:tc>
        <w:tc>
          <w:tcPr>
            <w:tcW w:w="22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3.790</w:t>
            </w:r>
          </w:p>
        </w:tc>
        <w:tc>
          <w:tcPr>
            <w:tcW w:w="363"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0.859</w:t>
            </w:r>
          </w:p>
        </w:tc>
        <w:tc>
          <w:tcPr>
            <w:tcW w:w="274"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color w:val="000000"/>
                <w:szCs w:val="22"/>
                <w:lang w:val="en-GB" w:eastAsia="en-US"/>
              </w:rPr>
            </w:pPr>
            <w:r w:rsidRPr="008D59AC">
              <w:rPr>
                <w:color w:val="000000"/>
                <w:szCs w:val="22"/>
                <w:lang w:val="en-GB" w:eastAsia="en-US"/>
              </w:rPr>
              <w:t>4.413</w:t>
            </w:r>
          </w:p>
        </w:tc>
        <w:tc>
          <w:tcPr>
            <w:tcW w:w="30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right"/>
              <w:rPr>
                <w:color w:val="000000"/>
                <w:szCs w:val="22"/>
                <w:lang w:val="en-GB" w:eastAsia="en-US"/>
              </w:rPr>
            </w:pPr>
            <w:r w:rsidRPr="008D59AC">
              <w:rPr>
                <w:color w:val="000000"/>
                <w:szCs w:val="22"/>
                <w:lang w:val="en-GB" w:eastAsia="en-US"/>
              </w:rPr>
              <w:t>0.000</w:t>
            </w:r>
          </w:p>
        </w:tc>
        <w:tc>
          <w:tcPr>
            <w:tcW w:w="185"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color w:val="000000"/>
                <w:szCs w:val="22"/>
                <w:lang w:val="en-GB" w:eastAsia="en-US"/>
              </w:rPr>
            </w:pPr>
            <w:r w:rsidRPr="008D59AC">
              <w:rPr>
                <w:color w:val="000000"/>
                <w:szCs w:val="22"/>
                <w:lang w:val="en-GB" w:eastAsia="en-US"/>
              </w:rPr>
              <w:t>***</w:t>
            </w:r>
          </w:p>
        </w:tc>
      </w:tr>
      <w:tr w:rsidR="004D1188" w:rsidRPr="008D59AC" w:rsidTr="004D1188">
        <w:trPr>
          <w:trHeight w:val="214"/>
        </w:trPr>
        <w:tc>
          <w:tcPr>
            <w:tcW w:w="50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n</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453</w:t>
            </w: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262</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1"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270</w:t>
            </w: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4"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0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Adj. R-squared</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0.919</w:t>
            </w: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618" w:type="pct"/>
            <w:gridSpan w:val="2"/>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0.803</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557" w:type="pct"/>
            <w:gridSpan w:val="2"/>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tcBorders>
              <w:top w:val="nil"/>
              <w:left w:val="nil"/>
              <w:bottom w:val="nil"/>
              <w:right w:val="nil"/>
            </w:tcBorders>
            <w:shd w:val="clear" w:color="auto" w:fill="auto"/>
            <w:noWrap/>
            <w:vAlign w:val="center"/>
            <w:hideMark/>
          </w:tcPr>
          <w:p w:rsidR="005057E2" w:rsidRPr="008D59AC" w:rsidRDefault="001B1F8C"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0.679</w:t>
            </w: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582" w:type="pct"/>
            <w:gridSpan w:val="2"/>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214"/>
        </w:trPr>
        <w:tc>
          <w:tcPr>
            <w:tcW w:w="50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Country</w:t>
            </w:r>
          </w:p>
        </w:tc>
        <w:tc>
          <w:tcPr>
            <w:tcW w:w="292"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46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6"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97"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59"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382"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6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96"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28"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1"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363"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274"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308" w:type="pct"/>
            <w:tcBorders>
              <w:top w:val="nil"/>
              <w:left w:val="nil"/>
              <w:bottom w:val="nil"/>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c>
          <w:tcPr>
            <w:tcW w:w="185" w:type="pct"/>
            <w:tcBorders>
              <w:top w:val="nil"/>
              <w:left w:val="nil"/>
              <w:bottom w:val="nil"/>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p>
        </w:tc>
      </w:tr>
      <w:tr w:rsidR="004D1188" w:rsidRPr="008D59AC" w:rsidTr="004D1188">
        <w:trPr>
          <w:trHeight w:val="225"/>
        </w:trPr>
        <w:tc>
          <w:tcPr>
            <w:tcW w:w="502"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Calibri" w:hAnsi="Calibri"/>
                <w:color w:val="000000"/>
                <w:szCs w:val="22"/>
                <w:lang w:val="en-GB" w:eastAsia="en-US"/>
              </w:rPr>
            </w:pPr>
            <w:r w:rsidRPr="008D59AC">
              <w:rPr>
                <w:rFonts w:ascii="Calibri" w:hAnsi="Calibri"/>
                <w:color w:val="000000"/>
                <w:szCs w:val="22"/>
                <w:lang w:val="en-GB" w:eastAsia="en-US"/>
              </w:rPr>
              <w:t>Year</w:t>
            </w:r>
          </w:p>
        </w:tc>
        <w:tc>
          <w:tcPr>
            <w:tcW w:w="292"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465"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62"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356"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197"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359"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382"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61"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96"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28"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71"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jc w:val="center"/>
              <w:rPr>
                <w:rFonts w:ascii="Calibri" w:hAnsi="Calibri"/>
                <w:color w:val="000000"/>
                <w:szCs w:val="22"/>
                <w:lang w:val="en-GB" w:eastAsia="en-US"/>
              </w:rPr>
            </w:pPr>
            <w:r w:rsidRPr="008D59AC">
              <w:rPr>
                <w:rFonts w:ascii="Calibri" w:hAnsi="Calibri"/>
                <w:color w:val="000000"/>
                <w:szCs w:val="22"/>
                <w:lang w:val="en-GB" w:eastAsia="en-US"/>
              </w:rPr>
              <w:t>Yes</w:t>
            </w:r>
          </w:p>
        </w:tc>
        <w:tc>
          <w:tcPr>
            <w:tcW w:w="363"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274"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308" w:type="pct"/>
            <w:tcBorders>
              <w:top w:val="nil"/>
              <w:left w:val="nil"/>
              <w:bottom w:val="single" w:sz="8" w:space="0" w:color="auto"/>
              <w:right w:val="nil"/>
            </w:tcBorders>
            <w:shd w:val="clear" w:color="auto" w:fill="auto"/>
            <w:noWrap/>
            <w:vAlign w:val="center"/>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c>
          <w:tcPr>
            <w:tcW w:w="185" w:type="pct"/>
            <w:tcBorders>
              <w:top w:val="nil"/>
              <w:left w:val="nil"/>
              <w:bottom w:val="single" w:sz="8" w:space="0" w:color="auto"/>
              <w:right w:val="nil"/>
            </w:tcBorders>
            <w:shd w:val="clear" w:color="auto" w:fill="auto"/>
            <w:noWrap/>
            <w:vAlign w:val="bottom"/>
            <w:hideMark/>
          </w:tcPr>
          <w:p w:rsidR="005057E2" w:rsidRPr="008D59AC" w:rsidRDefault="005057E2" w:rsidP="005057E2">
            <w:pPr>
              <w:spacing w:before="0" w:after="0" w:line="240" w:lineRule="auto"/>
              <w:rPr>
                <w:rFonts w:ascii="Times New Roman" w:hAnsi="Times New Roman"/>
                <w:color w:val="000000"/>
                <w:sz w:val="20"/>
                <w:szCs w:val="20"/>
                <w:lang w:val="en-GB" w:eastAsia="en-US"/>
              </w:rPr>
            </w:pPr>
            <w:r w:rsidRPr="008D59AC">
              <w:rPr>
                <w:rFonts w:ascii="Times New Roman" w:hAnsi="Times New Roman"/>
                <w:color w:val="000000"/>
                <w:sz w:val="20"/>
                <w:szCs w:val="20"/>
                <w:lang w:val="en-GB" w:eastAsia="en-US"/>
              </w:rPr>
              <w:t> </w:t>
            </w:r>
          </w:p>
        </w:tc>
      </w:tr>
    </w:tbl>
    <w:p w:rsidR="005057E2" w:rsidRPr="008D59AC" w:rsidRDefault="005057E2" w:rsidP="00967264">
      <w:pPr>
        <w:pStyle w:val="HRefBody"/>
        <w:ind w:left="0" w:firstLine="0"/>
        <w:jc w:val="both"/>
        <w:rPr>
          <w:sz w:val="20"/>
          <w:szCs w:val="20"/>
          <w:lang w:val="en-GB"/>
        </w:rPr>
      </w:pPr>
      <w:r w:rsidRPr="008D59AC">
        <w:rPr>
          <w:sz w:val="20"/>
          <w:lang w:val="en-GB"/>
        </w:rPr>
        <w:t>Table 9 presents the regression results using an alternative cluster analysis. This clustering process removes the freedom of press variable from the original cluster analysis. Panel A of Table 9 presents the new clusters. Panel B of Table 9 presents the results from the regression analysis. The sample is split based on the investor protection environment in the firm’s home country. The variables are similar as in Table 6. Country and year fixed effects are used in the regression. The standard errors are adjusted using White cross-section standard errors &amp; covariance correction.</w:t>
      </w:r>
    </w:p>
    <w:p w:rsidR="005057E2" w:rsidRPr="008D59AC" w:rsidRDefault="005057E2" w:rsidP="00967264">
      <w:pPr>
        <w:pStyle w:val="HRefBody"/>
        <w:ind w:left="0" w:firstLine="0"/>
        <w:jc w:val="both"/>
        <w:rPr>
          <w:sz w:val="20"/>
          <w:lang w:val="en-GB"/>
        </w:rPr>
        <w:sectPr w:rsidR="005057E2" w:rsidRPr="008D59AC" w:rsidSect="00B778A6">
          <w:pgSz w:w="16840" w:h="11907" w:orient="landscape"/>
          <w:pgMar w:top="709" w:right="1389" w:bottom="1440" w:left="1440" w:header="567" w:footer="0" w:gutter="0"/>
          <w:cols w:space="720"/>
          <w:formProt w:val="0"/>
          <w:docGrid w:linePitch="299"/>
        </w:sectPr>
      </w:pPr>
      <w:r w:rsidRPr="008D59AC">
        <w:rPr>
          <w:sz w:val="20"/>
          <w:lang w:val="en-GB"/>
        </w:rPr>
        <w:t xml:space="preserve"> </w:t>
      </w:r>
    </w:p>
    <w:p w:rsidR="000D7972" w:rsidRPr="008D59AC" w:rsidRDefault="00EA5635" w:rsidP="000D7972">
      <w:pPr>
        <w:pStyle w:val="HAppendixHead"/>
        <w:rPr>
          <w:lang w:val="en-GB"/>
        </w:rPr>
      </w:pPr>
      <w:r w:rsidRPr="008D59AC">
        <w:rPr>
          <w:lang w:val="en-GB"/>
        </w:rPr>
        <w:lastRenderedPageBreak/>
        <w:t>APPENDIX A</w:t>
      </w:r>
    </w:p>
    <w:p w:rsidR="000D7972" w:rsidRPr="008D59AC" w:rsidRDefault="000D7972" w:rsidP="000D7972">
      <w:pPr>
        <w:pStyle w:val="HBodyText"/>
        <w:rPr>
          <w:lang w:val="en-GB"/>
        </w:rPr>
      </w:pPr>
      <w:r w:rsidRPr="008D59AC">
        <w:rPr>
          <w:lang w:val="en-GB"/>
        </w:rPr>
        <w:t xml:space="preserve">An example of IFRS 13 disclosure of </w:t>
      </w:r>
      <w:r w:rsidR="00A23C81" w:rsidRPr="008D59AC">
        <w:rPr>
          <w:lang w:val="en-GB"/>
        </w:rPr>
        <w:t>D</w:t>
      </w:r>
      <w:r w:rsidR="007141B3" w:rsidRPr="008D59AC">
        <w:rPr>
          <w:lang w:val="en-GB"/>
        </w:rPr>
        <w:t>eutsche Bank AG</w:t>
      </w:r>
      <w:r w:rsidRPr="008D59AC">
        <w:rPr>
          <w:lang w:val="en-GB"/>
        </w:rPr>
        <w:t xml:space="preserve"> from annual report 2013</w:t>
      </w:r>
    </w:p>
    <w:p w:rsidR="000D7972" w:rsidRPr="008D59AC" w:rsidRDefault="00A23C81" w:rsidP="000D7972">
      <w:pPr>
        <w:pStyle w:val="HBodyText"/>
        <w:rPr>
          <w:lang w:val="en-GB"/>
        </w:rPr>
      </w:pPr>
      <w:r w:rsidRPr="008D59AC">
        <w:rPr>
          <w:noProof/>
        </w:rPr>
        <w:drawing>
          <wp:inline distT="0" distB="0" distL="0" distR="0" wp14:anchorId="152AB922" wp14:editId="230D1150">
            <wp:extent cx="5743575" cy="34861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46750" cy="3488077"/>
                    </a:xfrm>
                    <a:prstGeom prst="rect">
                      <a:avLst/>
                    </a:prstGeom>
                  </pic:spPr>
                </pic:pic>
              </a:graphicData>
            </a:graphic>
          </wp:inline>
        </w:drawing>
      </w:r>
    </w:p>
    <w:p w:rsidR="000D7972" w:rsidRPr="008D59AC" w:rsidRDefault="00A23C81" w:rsidP="000D7972">
      <w:pPr>
        <w:pStyle w:val="HBodyText"/>
        <w:rPr>
          <w:lang w:val="en-GB"/>
        </w:rPr>
      </w:pPr>
      <w:r w:rsidRPr="008D59AC">
        <w:rPr>
          <w:noProof/>
        </w:rPr>
        <w:drawing>
          <wp:inline distT="0" distB="0" distL="0" distR="0" wp14:anchorId="475DFA3C" wp14:editId="7B55B745">
            <wp:extent cx="5746750" cy="350760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746750" cy="3507605"/>
                    </a:xfrm>
                    <a:prstGeom prst="rect">
                      <a:avLst/>
                    </a:prstGeom>
                  </pic:spPr>
                </pic:pic>
              </a:graphicData>
            </a:graphic>
          </wp:inline>
        </w:drawing>
      </w:r>
    </w:p>
    <w:p w:rsidR="00AD1186" w:rsidRPr="008D59AC" w:rsidRDefault="00AD1186" w:rsidP="00A23C81">
      <w:pPr>
        <w:pStyle w:val="HRefBody"/>
        <w:ind w:left="851" w:hanging="851"/>
        <w:jc w:val="both"/>
        <w:rPr>
          <w:lang w:val="en-GB"/>
        </w:rPr>
      </w:pPr>
      <w:r w:rsidRPr="008D59AC">
        <w:rPr>
          <w:lang w:val="en-GB"/>
        </w:rPr>
        <w:t>Source:</w:t>
      </w:r>
      <w:r w:rsidRPr="008D59AC">
        <w:rPr>
          <w:lang w:val="en-GB"/>
        </w:rPr>
        <w:tab/>
      </w:r>
      <w:r w:rsidR="00A23C81" w:rsidRPr="008D59AC">
        <w:rPr>
          <w:lang w:val="en-GB"/>
        </w:rPr>
        <w:t>https://www.deutsche-bank.de/ir/en/download/Deutsche_Bank_Annual_Report_2013_entire.pdf</w:t>
      </w:r>
    </w:p>
    <w:sectPr w:rsidR="00AD1186" w:rsidRPr="008D59AC" w:rsidSect="00CE4D70">
      <w:pgSz w:w="11907" w:h="16840"/>
      <w:pgMar w:top="1440" w:right="1417" w:bottom="1440" w:left="1440" w:header="567" w:footer="0"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3FBE" w:rsidRDefault="00513FBE">
      <w:r>
        <w:separator/>
      </w:r>
    </w:p>
  </w:endnote>
  <w:endnote w:type="continuationSeparator" w:id="0">
    <w:p w:rsidR="00513FBE" w:rsidRDefault="00513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unga">
    <w:panose1 w:val="020B0502040204020203"/>
    <w:charset w:val="00"/>
    <w:family w:val="swiss"/>
    <w:pitch w:val="variable"/>
    <w:sig w:usb0="004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3FBE" w:rsidRDefault="00513FBE">
      <w:r>
        <w:separator/>
      </w:r>
    </w:p>
  </w:footnote>
  <w:footnote w:type="continuationSeparator" w:id="0">
    <w:p w:rsidR="00513FBE" w:rsidRDefault="00513FBE">
      <w:r>
        <w:continuationSeparator/>
      </w:r>
    </w:p>
  </w:footnote>
  <w:footnote w:id="1">
    <w:p w:rsidR="00513FBE" w:rsidRPr="007824A3" w:rsidRDefault="00513FBE">
      <w:pPr>
        <w:pStyle w:val="FootnoteText"/>
        <w:rPr>
          <w:lang w:val="en-US"/>
        </w:rPr>
      </w:pPr>
      <w:r>
        <w:rPr>
          <w:rStyle w:val="FootnoteReference"/>
        </w:rPr>
        <w:footnoteRef/>
      </w:r>
      <w:r w:rsidRPr="007824A3">
        <w:rPr>
          <w:lang w:val="en-US"/>
        </w:rPr>
        <w:t xml:space="preserve"> </w:t>
      </w:r>
      <w:r w:rsidRPr="00A64774">
        <w:rPr>
          <w:lang w:val="en-US"/>
        </w:rPr>
        <w:t xml:space="preserve">IFRS 13 was issued </w:t>
      </w:r>
      <w:r>
        <w:rPr>
          <w:lang w:val="en-US"/>
        </w:rPr>
        <w:t xml:space="preserve">in </w:t>
      </w:r>
      <w:r w:rsidRPr="00A64774">
        <w:rPr>
          <w:lang w:val="en-US"/>
        </w:rPr>
        <w:t>May</w:t>
      </w:r>
      <w:r>
        <w:rPr>
          <w:lang w:val="en-US"/>
        </w:rPr>
        <w:t xml:space="preserve"> 12,</w:t>
      </w:r>
      <w:r w:rsidRPr="00A64774">
        <w:rPr>
          <w:lang w:val="en-US"/>
        </w:rPr>
        <w:t xml:space="preserve"> 2011 and became effective for annual periods beginning on or after 1 January 2013 (IASB, 2011).</w:t>
      </w:r>
    </w:p>
  </w:footnote>
  <w:footnote w:id="2">
    <w:p w:rsidR="00513FBE" w:rsidRPr="00453133" w:rsidRDefault="00513FBE" w:rsidP="00D26594">
      <w:pPr>
        <w:pStyle w:val="FootnoteText"/>
        <w:rPr>
          <w:lang w:val="en-US"/>
        </w:rPr>
      </w:pPr>
      <w:r>
        <w:rPr>
          <w:rStyle w:val="FootnoteReference"/>
        </w:rPr>
        <w:footnoteRef/>
      </w:r>
      <w:r w:rsidRPr="00453133">
        <w:rPr>
          <w:lang w:val="en-US"/>
        </w:rPr>
        <w:t xml:space="preserve"> </w:t>
      </w:r>
      <w:r>
        <w:rPr>
          <w:lang w:val="en-US"/>
        </w:rPr>
        <w:t>Continental Europe countries are classified as having bank-oriented financial systems and British-American countries are classified as having market-oriented financial systems (Ali &amp; Hwang 2000).</w:t>
      </w:r>
    </w:p>
  </w:footnote>
  <w:footnote w:id="3">
    <w:p w:rsidR="00513FBE" w:rsidRPr="000B77DF" w:rsidRDefault="00513FBE" w:rsidP="00D11E89">
      <w:pPr>
        <w:pStyle w:val="FootnoteText"/>
        <w:rPr>
          <w:lang w:val="en-US"/>
        </w:rPr>
      </w:pPr>
      <w:r w:rsidRPr="00D11E89">
        <w:rPr>
          <w:rStyle w:val="FootnoteReference"/>
          <w:rFonts w:eastAsiaTheme="majorEastAsia"/>
        </w:rPr>
        <w:footnoteRef/>
      </w:r>
      <w:r w:rsidRPr="000B77DF">
        <w:rPr>
          <w:lang w:val="en-US"/>
        </w:rPr>
        <w:t xml:space="preserve"> A detailed discussion about the fair value accounting debate is provided in e.g. Laux and Leuz (2009).</w:t>
      </w:r>
    </w:p>
  </w:footnote>
  <w:footnote w:id="4">
    <w:p w:rsidR="00513FBE" w:rsidRPr="00B452D8" w:rsidRDefault="00513FBE" w:rsidP="00D26594">
      <w:pPr>
        <w:pStyle w:val="FootnoteText"/>
        <w:rPr>
          <w:lang w:val="en-US"/>
        </w:rPr>
      </w:pPr>
      <w:r>
        <w:rPr>
          <w:rStyle w:val="FootnoteReference"/>
        </w:rPr>
        <w:footnoteRef/>
      </w:r>
      <w:r w:rsidRPr="00B452D8">
        <w:rPr>
          <w:lang w:val="en-US"/>
        </w:rPr>
        <w:t xml:space="preserve"> </w:t>
      </w:r>
      <w:r>
        <w:rPr>
          <w:lang w:val="en-US"/>
        </w:rPr>
        <w:t>The sample of Goh et al. (2015) is from 2008-2011. Hence, there are no results from the first year of the financial crisis (i.e.2007).</w:t>
      </w:r>
    </w:p>
  </w:footnote>
  <w:footnote w:id="5">
    <w:p w:rsidR="00513FBE" w:rsidRPr="003F2D47" w:rsidRDefault="00513FBE" w:rsidP="00AF7100">
      <w:pPr>
        <w:pStyle w:val="FootnoteText"/>
        <w:rPr>
          <w:lang w:val="en-US"/>
        </w:rPr>
      </w:pPr>
      <w:r>
        <w:rPr>
          <w:rStyle w:val="FootnoteReference"/>
        </w:rPr>
        <w:footnoteRef/>
      </w:r>
      <w:r w:rsidRPr="003F2D47">
        <w:rPr>
          <w:lang w:val="en-US"/>
        </w:rPr>
        <w:t xml:space="preserve"> </w:t>
      </w:r>
      <w:r>
        <w:rPr>
          <w:lang w:val="en-US"/>
        </w:rPr>
        <w:t>The elimination of outliers by calculating absolute studentized residuals is done similarly as Song et al. (2010).</w:t>
      </w:r>
    </w:p>
  </w:footnote>
  <w:footnote w:id="6">
    <w:p w:rsidR="00513FBE" w:rsidRPr="00AF7100" w:rsidRDefault="00513FBE">
      <w:pPr>
        <w:pStyle w:val="FootnoteText"/>
        <w:rPr>
          <w:lang w:val="en-US"/>
        </w:rPr>
      </w:pPr>
      <w:r>
        <w:rPr>
          <w:rStyle w:val="FootnoteReference"/>
        </w:rPr>
        <w:footnoteRef/>
      </w:r>
      <w:r w:rsidRPr="00AF7100">
        <w:rPr>
          <w:lang w:val="en-US"/>
        </w:rPr>
        <w:t xml:space="preserve"> </w:t>
      </w:r>
      <w:r>
        <w:rPr>
          <w:lang w:val="en-US"/>
        </w:rPr>
        <w:t>From the starting sample of 42 countries, 8 countries are excluded due to no observations after the sample selection process. Countries excluded in the final sample are Nigeria, Ukraine, Tanzania, Kazakhstan, Panama, Mexico, Peru, and Czech Republic.</w:t>
      </w:r>
    </w:p>
  </w:footnote>
  <w:footnote w:id="7">
    <w:p w:rsidR="00513FBE" w:rsidRPr="00583D5A" w:rsidRDefault="00513FBE">
      <w:pPr>
        <w:pStyle w:val="FootnoteText"/>
        <w:rPr>
          <w:lang w:val="en-US"/>
        </w:rPr>
      </w:pPr>
      <w:r>
        <w:rPr>
          <w:rStyle w:val="FootnoteReference"/>
        </w:rPr>
        <w:footnoteRef/>
      </w:r>
      <w:r w:rsidRPr="00583D5A">
        <w:rPr>
          <w:lang w:val="en-US"/>
        </w:rPr>
        <w:t xml:space="preserve"> </w:t>
      </w:r>
      <w:r>
        <w:rPr>
          <w:lang w:val="en-US"/>
        </w:rPr>
        <w:t>E.g. Gul et al. (2013) and Francis and Wang (2008) use the following La Porta et al. (1998, 2006) variables when approximating investor protection: Common law, anti-director rights index, disclosure rights index, liability standard index, and public enforcement of securities laws index.</w:t>
      </w:r>
    </w:p>
  </w:footnote>
  <w:footnote w:id="8">
    <w:p w:rsidR="00513FBE" w:rsidRPr="00735B33" w:rsidRDefault="00513FBE">
      <w:pPr>
        <w:pStyle w:val="FootnoteText"/>
        <w:rPr>
          <w:lang w:val="en-US"/>
        </w:rPr>
      </w:pPr>
      <w:r>
        <w:rPr>
          <w:rStyle w:val="FootnoteReference"/>
        </w:rPr>
        <w:footnoteRef/>
      </w:r>
      <w:r w:rsidRPr="00735B33">
        <w:rPr>
          <w:lang w:val="en-US"/>
        </w:rPr>
        <w:t xml:space="preserve"> </w:t>
      </w:r>
      <w:r>
        <w:rPr>
          <w:lang w:val="en-US"/>
        </w:rPr>
        <w:t>The use of La Porta variables as suggested by Francis and Wang (2008) would reduce the sample from 34 countries to 24, due to the lack of data for 10 countries. Out of these 10 countries, seven countries represent the lowest investor protection environment. Hence, a use of La Porta variables instead of the now suggested Houqe et al. (2012) variables would narrow the spectra of investor protection variables and thus making the results less generalizable. Thus, LaPorta variables are not considered in this paper.</w:t>
      </w:r>
    </w:p>
  </w:footnote>
  <w:footnote w:id="9">
    <w:p w:rsidR="00513FBE" w:rsidRPr="00C96A52" w:rsidRDefault="00513FBE">
      <w:pPr>
        <w:pStyle w:val="FootnoteText"/>
        <w:rPr>
          <w:lang w:val="en-US"/>
        </w:rPr>
      </w:pPr>
      <w:r>
        <w:rPr>
          <w:rStyle w:val="FootnoteReference"/>
        </w:rPr>
        <w:footnoteRef/>
      </w:r>
      <w:r w:rsidRPr="00C96A52">
        <w:rPr>
          <w:lang w:val="en-US"/>
        </w:rPr>
        <w:t xml:space="preserve"> </w:t>
      </w:r>
      <w:r>
        <w:rPr>
          <w:lang w:val="en-US"/>
        </w:rPr>
        <w:t>The fundamental Ohlson (1995)</w:t>
      </w:r>
      <w:r w:rsidRPr="00C96A52">
        <w:rPr>
          <w:lang w:val="en-US"/>
        </w:rPr>
        <w:t xml:space="preserve"> model is as follows: MVE = </w:t>
      </w:r>
      <w:r>
        <w:rPr>
          <w:lang w:val="en-US"/>
        </w:rPr>
        <w:t>α + β1*BVE + β2*NI + ε. The market value of equity (</w:t>
      </w:r>
      <w:r w:rsidRPr="00C71E75">
        <w:rPr>
          <w:i/>
          <w:lang w:val="en-US"/>
        </w:rPr>
        <w:t>MVE</w:t>
      </w:r>
      <w:r>
        <w:rPr>
          <w:lang w:val="en-US"/>
        </w:rPr>
        <w:t>) is regressed on the firms’ book value of equity (</w:t>
      </w:r>
      <w:r w:rsidRPr="00C71E75">
        <w:rPr>
          <w:i/>
          <w:lang w:val="en-US"/>
        </w:rPr>
        <w:t>BVE</w:t>
      </w:r>
      <w:r>
        <w:rPr>
          <w:lang w:val="en-US"/>
        </w:rPr>
        <w:t>) and net income (</w:t>
      </w:r>
      <w:r w:rsidRPr="00C71E75">
        <w:rPr>
          <w:i/>
          <w:lang w:val="en-US"/>
        </w:rPr>
        <w:t>N</w:t>
      </w:r>
      <w:r>
        <w:rPr>
          <w:lang w:val="en-US"/>
        </w:rPr>
        <w:t>I). The fundamental model has been used extensively in prior value relevance studies (e.g. Barth et al., 2008; Tsalvoutas et al., 2012). Other studies adopt a researcher-modified Ohlson model to better suit their purpose of the study. For example Aharony et al. (2010) include a goodwill variable, a research and development expenses variable, and a revaluation reserves variable into the Ohlson model to test the value relevance of goodwill, R&amp;D expenses, and revaluation reserves.</w:t>
      </w:r>
    </w:p>
  </w:footnote>
  <w:footnote w:id="10">
    <w:p w:rsidR="00513FBE" w:rsidRPr="00AB55DF" w:rsidRDefault="00513FBE">
      <w:pPr>
        <w:pStyle w:val="FootnoteText"/>
        <w:rPr>
          <w:lang w:val="en-US"/>
        </w:rPr>
      </w:pPr>
      <w:r>
        <w:rPr>
          <w:rStyle w:val="FootnoteReference"/>
        </w:rPr>
        <w:footnoteRef/>
      </w:r>
      <w:r w:rsidRPr="00AB55DF">
        <w:rPr>
          <w:lang w:val="en-US"/>
        </w:rPr>
        <w:t xml:space="preserve"> </w:t>
      </w:r>
      <w:r>
        <w:rPr>
          <w:lang w:val="en-US"/>
        </w:rPr>
        <w:t>Following Barth et al. (2014) and Tsalavoutas et al. (2012), t</w:t>
      </w:r>
      <w:r w:rsidRPr="00AB55DF">
        <w:rPr>
          <w:lang w:val="en-US"/>
        </w:rPr>
        <w:t>he price at four months after</w:t>
      </w:r>
      <w:r>
        <w:rPr>
          <w:lang w:val="en-US"/>
        </w:rPr>
        <w:t xml:space="preserve"> the</w:t>
      </w:r>
      <w:r w:rsidRPr="00AB55DF">
        <w:rPr>
          <w:lang w:val="en-US"/>
        </w:rPr>
        <w:t xml:space="preserve"> fiscal year</w:t>
      </w:r>
      <w:r>
        <w:rPr>
          <w:lang w:val="en-US"/>
        </w:rPr>
        <w:t>-</w:t>
      </w:r>
      <w:r w:rsidRPr="00AB55DF">
        <w:rPr>
          <w:lang w:val="en-US"/>
        </w:rPr>
        <w:t xml:space="preserve">end is used to assure that </w:t>
      </w:r>
      <w:r>
        <w:rPr>
          <w:lang w:val="en-US"/>
        </w:rPr>
        <w:t>the accounting information in year-end financial statements has been absorbed by investors.</w:t>
      </w:r>
    </w:p>
  </w:footnote>
  <w:footnote w:id="11">
    <w:p w:rsidR="00513FBE" w:rsidRPr="002D2FB1" w:rsidRDefault="00513FBE">
      <w:pPr>
        <w:pStyle w:val="FootnoteText"/>
        <w:rPr>
          <w:lang w:val="en-US"/>
        </w:rPr>
      </w:pPr>
      <w:r>
        <w:rPr>
          <w:rStyle w:val="FootnoteReference"/>
        </w:rPr>
        <w:footnoteRef/>
      </w:r>
      <w:r w:rsidRPr="002D2FB1">
        <w:rPr>
          <w:lang w:val="en-US"/>
        </w:rPr>
        <w:t xml:space="preserve"> </w:t>
      </w:r>
      <w:r>
        <w:rPr>
          <w:lang w:val="en-US"/>
        </w:rPr>
        <w:t xml:space="preserve">Both Song et al. (2010) and Goh et al. (2015) argue that fair values are value relevant if the coefficients are different from 0. </w:t>
      </w:r>
      <w:r w:rsidRPr="002D2FB1">
        <w:rPr>
          <w:lang w:val="en-US"/>
        </w:rPr>
        <w:t xml:space="preserve">According to Song et al. </w:t>
      </w:r>
      <w:r>
        <w:rPr>
          <w:lang w:val="en-US"/>
        </w:rPr>
        <w:t>(2010) the theoretical prediction is that the coefficients for assets (liabilities) should be between 0 and 1 (-1). Goh et al. (2015) claim that a coefficient of one suggests that there is no mispricing. However, due to empirical issues with valuation models the regression coefficients might differ from the theoretical value of one (Goh et al., 2015).</w:t>
      </w:r>
    </w:p>
  </w:footnote>
  <w:footnote w:id="12">
    <w:p w:rsidR="00513FBE" w:rsidRPr="003D409C" w:rsidRDefault="00513FBE">
      <w:pPr>
        <w:pStyle w:val="FootnoteText"/>
        <w:rPr>
          <w:lang w:val="en-US"/>
        </w:rPr>
      </w:pPr>
      <w:r>
        <w:rPr>
          <w:rStyle w:val="FootnoteReference"/>
        </w:rPr>
        <w:footnoteRef/>
      </w:r>
      <w:r w:rsidRPr="003D409C">
        <w:rPr>
          <w:lang w:val="en-US"/>
        </w:rPr>
        <w:t xml:space="preserve"> </w:t>
      </w:r>
      <w:r>
        <w:rPr>
          <w:lang w:val="en-US"/>
        </w:rPr>
        <w:t xml:space="preserve">A non-tabulated </w:t>
      </w:r>
      <w:r w:rsidRPr="003D409C">
        <w:rPr>
          <w:lang w:val="en-US"/>
        </w:rPr>
        <w:t>additional analysis show t</w:t>
      </w:r>
      <w:r>
        <w:rPr>
          <w:lang w:val="en-US"/>
        </w:rPr>
        <w:t>hat the investor protection score (average of the six variables) is positively correlated with the firm performance (EPS) (p-value = 0.000). The correlation is very strong, indicating that firms from countries with higher investor protection have higher financial performance. This finding enhances the assumption that strong investor protection is positive for investors.</w:t>
      </w:r>
    </w:p>
  </w:footnote>
  <w:footnote w:id="13">
    <w:p w:rsidR="00513FBE" w:rsidRPr="00F64860" w:rsidRDefault="00513FBE">
      <w:pPr>
        <w:pStyle w:val="FootnoteText"/>
        <w:rPr>
          <w:lang w:val="en-US"/>
        </w:rPr>
      </w:pPr>
      <w:r>
        <w:rPr>
          <w:rStyle w:val="FootnoteReference"/>
        </w:rPr>
        <w:footnoteRef/>
      </w:r>
      <w:r w:rsidRPr="00F64860">
        <w:rPr>
          <w:lang w:val="en-US"/>
        </w:rPr>
        <w:t xml:space="preserve"> Song et al. (2010) show that the value relevance of</w:t>
      </w:r>
      <w:r>
        <w:rPr>
          <w:lang w:val="en-US"/>
        </w:rPr>
        <w:t>, especially, level 3 assets is</w:t>
      </w:r>
      <w:r w:rsidRPr="00F64860">
        <w:rPr>
          <w:lang w:val="en-US"/>
        </w:rPr>
        <w:t xml:space="preserve"> posit</w:t>
      </w:r>
      <w:r>
        <w:rPr>
          <w:lang w:val="en-US"/>
        </w:rPr>
        <w:t>ively associated with corporate governance mechanisms. Firms with the strongest corporate governance have the highest value relevance of level 3 fair values.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FBE" w:rsidRDefault="00513FBE">
    <w:pPr>
      <w:pStyle w:val="Header"/>
      <w:jc w:val="center"/>
    </w:pPr>
  </w:p>
  <w:p w:rsidR="00513FBE" w:rsidRDefault="00513FBE" w:rsidP="00AB72B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7365306"/>
      <w:docPartObj>
        <w:docPartGallery w:val="Page Numbers (Top of Page)"/>
        <w:docPartUnique/>
      </w:docPartObj>
    </w:sdtPr>
    <w:sdtEndPr>
      <w:rPr>
        <w:noProof/>
      </w:rPr>
    </w:sdtEndPr>
    <w:sdtContent>
      <w:p w:rsidR="00513FBE" w:rsidRDefault="00513FBE">
        <w:pPr>
          <w:pStyle w:val="Header"/>
          <w:jc w:val="center"/>
        </w:pPr>
        <w:r>
          <w:fldChar w:fldCharType="begin"/>
        </w:r>
        <w:r>
          <w:instrText xml:space="preserve"> PAGE   \* MERGEFORMAT </w:instrText>
        </w:r>
        <w:r>
          <w:fldChar w:fldCharType="separate"/>
        </w:r>
        <w:r w:rsidR="003269F1">
          <w:rPr>
            <w:noProof/>
          </w:rPr>
          <w:t>1</w:t>
        </w:r>
        <w:r>
          <w:rPr>
            <w:noProof/>
          </w:rPr>
          <w:fldChar w:fldCharType="end"/>
        </w:r>
      </w:p>
    </w:sdtContent>
  </w:sdt>
  <w:p w:rsidR="00513FBE" w:rsidRDefault="00513FBE" w:rsidP="00AB72B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286B73"/>
    <w:multiLevelType w:val="multilevel"/>
    <w:tmpl w:val="7BD896EE"/>
    <w:lvl w:ilvl="0">
      <w:start w:val="1"/>
      <w:numFmt w:val="decimal"/>
      <w:lvlText w:val="%1"/>
      <w:lvlJc w:val="left"/>
      <w:pPr>
        <w:tabs>
          <w:tab w:val="num" w:pos="567"/>
        </w:tabs>
        <w:ind w:left="567" w:hanging="567"/>
      </w:pPr>
    </w:lvl>
    <w:lvl w:ilvl="1">
      <w:start w:val="1"/>
      <w:numFmt w:val="decimal"/>
      <w:pStyle w:val="Heading2"/>
      <w:lvlText w:val="%1.%2"/>
      <w:lvlJc w:val="left"/>
      <w:pPr>
        <w:tabs>
          <w:tab w:val="num" w:pos="1134"/>
        </w:tabs>
        <w:ind w:left="1134" w:hanging="567"/>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 w15:restartNumberingAfterBreak="0">
    <w:nsid w:val="1B6111C5"/>
    <w:multiLevelType w:val="multilevel"/>
    <w:tmpl w:val="A5068086"/>
    <w:lvl w:ilvl="0">
      <w:start w:val="1"/>
      <w:numFmt w:val="decimal"/>
      <w:pStyle w:val="HFigur"/>
      <w:lvlText w:val="Figur %1"/>
      <w:lvlJc w:val="left"/>
      <w:pPr>
        <w:tabs>
          <w:tab w:val="num" w:pos="907"/>
        </w:tabs>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1DA035DA"/>
    <w:multiLevelType w:val="hybridMultilevel"/>
    <w:tmpl w:val="43661D62"/>
    <w:lvl w:ilvl="0" w:tplc="9C2A6E70">
      <w:start w:val="1"/>
      <w:numFmt w:val="bullet"/>
      <w:pStyle w:val="HBodyTextList"/>
      <w:lvlText w:val=""/>
      <w:lvlJc w:val="left"/>
      <w:pPr>
        <w:tabs>
          <w:tab w:val="num" w:pos="907"/>
        </w:tabs>
        <w:ind w:left="567" w:firstLine="0"/>
      </w:pPr>
      <w:rPr>
        <w:rFonts w:ascii="Symbol" w:hAnsi="Symbol" w:hint="default"/>
        <w:b w:val="0"/>
        <w:i w:val="0"/>
      </w:rPr>
    </w:lvl>
    <w:lvl w:ilvl="1" w:tplc="040B0003">
      <w:start w:val="1"/>
      <w:numFmt w:val="decimal"/>
      <w:lvlText w:val="%2."/>
      <w:lvlJc w:val="left"/>
      <w:pPr>
        <w:tabs>
          <w:tab w:val="num" w:pos="1440"/>
        </w:tabs>
        <w:ind w:left="1440" w:hanging="360"/>
      </w:pPr>
    </w:lvl>
    <w:lvl w:ilvl="2" w:tplc="040B0005">
      <w:start w:val="1"/>
      <w:numFmt w:val="decimal"/>
      <w:lvlText w:val="%3."/>
      <w:lvlJc w:val="left"/>
      <w:pPr>
        <w:tabs>
          <w:tab w:val="num" w:pos="2160"/>
        </w:tabs>
        <w:ind w:left="2160" w:hanging="360"/>
      </w:pPr>
    </w:lvl>
    <w:lvl w:ilvl="3" w:tplc="040B0001">
      <w:start w:val="1"/>
      <w:numFmt w:val="decimal"/>
      <w:lvlText w:val="%4."/>
      <w:lvlJc w:val="left"/>
      <w:pPr>
        <w:tabs>
          <w:tab w:val="num" w:pos="2880"/>
        </w:tabs>
        <w:ind w:left="2880" w:hanging="360"/>
      </w:pPr>
    </w:lvl>
    <w:lvl w:ilvl="4" w:tplc="040B0003">
      <w:start w:val="1"/>
      <w:numFmt w:val="decimal"/>
      <w:lvlText w:val="%5."/>
      <w:lvlJc w:val="left"/>
      <w:pPr>
        <w:tabs>
          <w:tab w:val="num" w:pos="3600"/>
        </w:tabs>
        <w:ind w:left="3600" w:hanging="360"/>
      </w:pPr>
    </w:lvl>
    <w:lvl w:ilvl="5" w:tplc="040B0005">
      <w:start w:val="1"/>
      <w:numFmt w:val="decimal"/>
      <w:lvlText w:val="%6."/>
      <w:lvlJc w:val="left"/>
      <w:pPr>
        <w:tabs>
          <w:tab w:val="num" w:pos="4320"/>
        </w:tabs>
        <w:ind w:left="4320" w:hanging="360"/>
      </w:pPr>
    </w:lvl>
    <w:lvl w:ilvl="6" w:tplc="040B0001">
      <w:start w:val="1"/>
      <w:numFmt w:val="decimal"/>
      <w:lvlText w:val="%7."/>
      <w:lvlJc w:val="left"/>
      <w:pPr>
        <w:tabs>
          <w:tab w:val="num" w:pos="5040"/>
        </w:tabs>
        <w:ind w:left="5040" w:hanging="360"/>
      </w:pPr>
    </w:lvl>
    <w:lvl w:ilvl="7" w:tplc="040B0003">
      <w:start w:val="1"/>
      <w:numFmt w:val="decimal"/>
      <w:lvlText w:val="%8."/>
      <w:lvlJc w:val="left"/>
      <w:pPr>
        <w:tabs>
          <w:tab w:val="num" w:pos="5760"/>
        </w:tabs>
        <w:ind w:left="5760" w:hanging="360"/>
      </w:pPr>
    </w:lvl>
    <w:lvl w:ilvl="8" w:tplc="040B0005">
      <w:start w:val="1"/>
      <w:numFmt w:val="decimal"/>
      <w:lvlText w:val="%9."/>
      <w:lvlJc w:val="left"/>
      <w:pPr>
        <w:tabs>
          <w:tab w:val="num" w:pos="6480"/>
        </w:tabs>
        <w:ind w:left="6480" w:hanging="360"/>
      </w:pPr>
    </w:lvl>
  </w:abstractNum>
  <w:abstractNum w:abstractNumId="3" w15:restartNumberingAfterBreak="0">
    <w:nsid w:val="336C0401"/>
    <w:multiLevelType w:val="hybridMultilevel"/>
    <w:tmpl w:val="E87EB8DC"/>
    <w:lvl w:ilvl="0" w:tplc="C93201D2">
      <w:start w:val="1"/>
      <w:numFmt w:val="decimal"/>
      <w:pStyle w:val="HBodyTextListNr"/>
      <w:lvlText w:val="%1)"/>
      <w:lvlJc w:val="left"/>
      <w:pPr>
        <w:tabs>
          <w:tab w:val="num" w:pos="567"/>
        </w:tabs>
        <w:ind w:left="360" w:hanging="360"/>
      </w:pPr>
    </w:lvl>
    <w:lvl w:ilvl="1" w:tplc="040B0019">
      <w:start w:val="1"/>
      <w:numFmt w:val="decimal"/>
      <w:lvlText w:val="%2."/>
      <w:lvlJc w:val="left"/>
      <w:pPr>
        <w:tabs>
          <w:tab w:val="num" w:pos="1440"/>
        </w:tabs>
        <w:ind w:left="1440" w:hanging="360"/>
      </w:pPr>
    </w:lvl>
    <w:lvl w:ilvl="2" w:tplc="040B001B">
      <w:start w:val="1"/>
      <w:numFmt w:val="decimal"/>
      <w:lvlText w:val="%3."/>
      <w:lvlJc w:val="left"/>
      <w:pPr>
        <w:tabs>
          <w:tab w:val="num" w:pos="2160"/>
        </w:tabs>
        <w:ind w:left="2160" w:hanging="360"/>
      </w:pPr>
    </w:lvl>
    <w:lvl w:ilvl="3" w:tplc="040B000F">
      <w:start w:val="1"/>
      <w:numFmt w:val="decimal"/>
      <w:lvlText w:val="%4."/>
      <w:lvlJc w:val="left"/>
      <w:pPr>
        <w:tabs>
          <w:tab w:val="num" w:pos="2880"/>
        </w:tabs>
        <w:ind w:left="2880" w:hanging="360"/>
      </w:pPr>
    </w:lvl>
    <w:lvl w:ilvl="4" w:tplc="040B0019">
      <w:start w:val="1"/>
      <w:numFmt w:val="decimal"/>
      <w:lvlText w:val="%5."/>
      <w:lvlJc w:val="left"/>
      <w:pPr>
        <w:tabs>
          <w:tab w:val="num" w:pos="3600"/>
        </w:tabs>
        <w:ind w:left="3600" w:hanging="360"/>
      </w:pPr>
    </w:lvl>
    <w:lvl w:ilvl="5" w:tplc="040B001B">
      <w:start w:val="1"/>
      <w:numFmt w:val="decimal"/>
      <w:lvlText w:val="%6."/>
      <w:lvlJc w:val="left"/>
      <w:pPr>
        <w:tabs>
          <w:tab w:val="num" w:pos="4320"/>
        </w:tabs>
        <w:ind w:left="4320" w:hanging="360"/>
      </w:pPr>
    </w:lvl>
    <w:lvl w:ilvl="6" w:tplc="040B000F">
      <w:start w:val="1"/>
      <w:numFmt w:val="decimal"/>
      <w:lvlText w:val="%7."/>
      <w:lvlJc w:val="left"/>
      <w:pPr>
        <w:tabs>
          <w:tab w:val="num" w:pos="5040"/>
        </w:tabs>
        <w:ind w:left="5040" w:hanging="360"/>
      </w:pPr>
    </w:lvl>
    <w:lvl w:ilvl="7" w:tplc="040B0019">
      <w:start w:val="1"/>
      <w:numFmt w:val="decimal"/>
      <w:lvlText w:val="%8."/>
      <w:lvlJc w:val="left"/>
      <w:pPr>
        <w:tabs>
          <w:tab w:val="num" w:pos="5760"/>
        </w:tabs>
        <w:ind w:left="5760" w:hanging="360"/>
      </w:pPr>
    </w:lvl>
    <w:lvl w:ilvl="8" w:tplc="040B001B">
      <w:start w:val="1"/>
      <w:numFmt w:val="decimal"/>
      <w:lvlText w:val="%9."/>
      <w:lvlJc w:val="left"/>
      <w:pPr>
        <w:tabs>
          <w:tab w:val="num" w:pos="6480"/>
        </w:tabs>
        <w:ind w:left="6480" w:hanging="360"/>
      </w:pPr>
    </w:lvl>
  </w:abstractNum>
  <w:abstractNum w:abstractNumId="4" w15:restartNumberingAfterBreak="0">
    <w:nsid w:val="4C9A7A86"/>
    <w:multiLevelType w:val="hybridMultilevel"/>
    <w:tmpl w:val="02C0BE32"/>
    <w:lvl w:ilvl="0" w:tplc="0D34FDD0">
      <w:start w:val="1"/>
      <w:numFmt w:val="decimal"/>
      <w:pStyle w:val="HTable"/>
      <w:lvlText w:val="Tabell %1"/>
      <w:lvlJc w:val="left"/>
      <w:pPr>
        <w:tabs>
          <w:tab w:val="num" w:pos="1220"/>
        </w:tabs>
        <w:ind w:left="426" w:firstLine="0"/>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B0019">
      <w:start w:val="1"/>
      <w:numFmt w:val="decimal"/>
      <w:lvlText w:val="%2."/>
      <w:lvlJc w:val="left"/>
      <w:pPr>
        <w:tabs>
          <w:tab w:val="num" w:pos="1866"/>
        </w:tabs>
        <w:ind w:left="1866" w:hanging="360"/>
      </w:pPr>
    </w:lvl>
    <w:lvl w:ilvl="2" w:tplc="040B001B">
      <w:start w:val="1"/>
      <w:numFmt w:val="decimal"/>
      <w:lvlText w:val="%3."/>
      <w:lvlJc w:val="left"/>
      <w:pPr>
        <w:tabs>
          <w:tab w:val="num" w:pos="2586"/>
        </w:tabs>
        <w:ind w:left="2586" w:hanging="360"/>
      </w:pPr>
    </w:lvl>
    <w:lvl w:ilvl="3" w:tplc="040B000F">
      <w:start w:val="1"/>
      <w:numFmt w:val="decimal"/>
      <w:lvlText w:val="%4."/>
      <w:lvlJc w:val="left"/>
      <w:pPr>
        <w:tabs>
          <w:tab w:val="num" w:pos="3306"/>
        </w:tabs>
        <w:ind w:left="3306" w:hanging="360"/>
      </w:pPr>
    </w:lvl>
    <w:lvl w:ilvl="4" w:tplc="040B0019">
      <w:start w:val="1"/>
      <w:numFmt w:val="decimal"/>
      <w:lvlText w:val="%5."/>
      <w:lvlJc w:val="left"/>
      <w:pPr>
        <w:tabs>
          <w:tab w:val="num" w:pos="4026"/>
        </w:tabs>
        <w:ind w:left="4026" w:hanging="360"/>
      </w:pPr>
    </w:lvl>
    <w:lvl w:ilvl="5" w:tplc="040B001B">
      <w:start w:val="1"/>
      <w:numFmt w:val="decimal"/>
      <w:lvlText w:val="%6."/>
      <w:lvlJc w:val="left"/>
      <w:pPr>
        <w:tabs>
          <w:tab w:val="num" w:pos="4746"/>
        </w:tabs>
        <w:ind w:left="4746" w:hanging="360"/>
      </w:pPr>
    </w:lvl>
    <w:lvl w:ilvl="6" w:tplc="040B000F">
      <w:start w:val="1"/>
      <w:numFmt w:val="decimal"/>
      <w:lvlText w:val="%7."/>
      <w:lvlJc w:val="left"/>
      <w:pPr>
        <w:tabs>
          <w:tab w:val="num" w:pos="5466"/>
        </w:tabs>
        <w:ind w:left="5466" w:hanging="360"/>
      </w:pPr>
    </w:lvl>
    <w:lvl w:ilvl="7" w:tplc="040B0019">
      <w:start w:val="1"/>
      <w:numFmt w:val="decimal"/>
      <w:lvlText w:val="%8."/>
      <w:lvlJc w:val="left"/>
      <w:pPr>
        <w:tabs>
          <w:tab w:val="num" w:pos="6186"/>
        </w:tabs>
        <w:ind w:left="6186" w:hanging="360"/>
      </w:pPr>
    </w:lvl>
    <w:lvl w:ilvl="8" w:tplc="040B001B">
      <w:start w:val="1"/>
      <w:numFmt w:val="decimal"/>
      <w:lvlText w:val="%9."/>
      <w:lvlJc w:val="left"/>
      <w:pPr>
        <w:tabs>
          <w:tab w:val="num" w:pos="6906"/>
        </w:tabs>
        <w:ind w:left="6906" w:hanging="360"/>
      </w:pPr>
    </w:lvl>
  </w:abstractNum>
  <w:abstractNum w:abstractNumId="5" w15:restartNumberingAfterBreak="0">
    <w:nsid w:val="50F168FE"/>
    <w:multiLevelType w:val="multilevel"/>
    <w:tmpl w:val="E1EA486A"/>
    <w:lvl w:ilvl="0">
      <w:start w:val="1"/>
      <w:numFmt w:val="decimal"/>
      <w:pStyle w:val="HHead1"/>
      <w:lvlText w:val="%1"/>
      <w:lvlJc w:val="left"/>
      <w:pPr>
        <w:tabs>
          <w:tab w:val="num" w:pos="567"/>
        </w:tabs>
        <w:ind w:left="567" w:hanging="567"/>
      </w:pPr>
    </w:lvl>
    <w:lvl w:ilvl="1">
      <w:start w:val="1"/>
      <w:numFmt w:val="decimal"/>
      <w:pStyle w:val="HHead2"/>
      <w:lvlText w:val="%1.%2."/>
      <w:lvlJc w:val="left"/>
      <w:pPr>
        <w:tabs>
          <w:tab w:val="num" w:pos="1134"/>
        </w:tabs>
        <w:ind w:left="1134" w:hanging="567"/>
      </w:pPr>
    </w:lvl>
    <w:lvl w:ilvl="2">
      <w:start w:val="1"/>
      <w:numFmt w:val="decimal"/>
      <w:pStyle w:val="HHead3"/>
      <w:lvlText w:val="%1.%2.%3."/>
      <w:lvlJc w:val="left"/>
      <w:pPr>
        <w:tabs>
          <w:tab w:val="num" w:pos="1800"/>
        </w:tabs>
        <w:ind w:left="1224" w:hanging="504"/>
      </w:pPr>
    </w:lvl>
    <w:lvl w:ilvl="3">
      <w:start w:val="1"/>
      <w:numFmt w:val="decimal"/>
      <w:pStyle w:val="HHead4"/>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 w15:restartNumberingAfterBreak="0">
    <w:nsid w:val="696052BD"/>
    <w:multiLevelType w:val="multilevel"/>
    <w:tmpl w:val="3F66AE48"/>
    <w:lvl w:ilvl="0">
      <w:start w:val="1"/>
      <w:numFmt w:val="decimal"/>
      <w:pStyle w:val="HAppendix"/>
      <w:lvlText w:val="Appendix %1"/>
      <w:lvlJc w:val="left"/>
      <w:pPr>
        <w:tabs>
          <w:tab w:val="num" w:pos="1701"/>
        </w:tabs>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ttachedTemplate r:id="rId1"/>
  <w:defaultTabStop w:val="1304"/>
  <w:hyphenationZone w:val="420"/>
  <w:drawingGridHorizontalSpacing w:val="10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B80"/>
    <w:rsid w:val="0000249D"/>
    <w:rsid w:val="00002647"/>
    <w:rsid w:val="00002B68"/>
    <w:rsid w:val="00003193"/>
    <w:rsid w:val="00003275"/>
    <w:rsid w:val="00004436"/>
    <w:rsid w:val="000049B3"/>
    <w:rsid w:val="00004B67"/>
    <w:rsid w:val="000068F0"/>
    <w:rsid w:val="00013B32"/>
    <w:rsid w:val="0001418B"/>
    <w:rsid w:val="00014956"/>
    <w:rsid w:val="00016983"/>
    <w:rsid w:val="000171D4"/>
    <w:rsid w:val="00020573"/>
    <w:rsid w:val="00020E68"/>
    <w:rsid w:val="00021315"/>
    <w:rsid w:val="0002245F"/>
    <w:rsid w:val="000224DB"/>
    <w:rsid w:val="00023880"/>
    <w:rsid w:val="0002483E"/>
    <w:rsid w:val="00024F92"/>
    <w:rsid w:val="000264AD"/>
    <w:rsid w:val="00030779"/>
    <w:rsid w:val="000313B0"/>
    <w:rsid w:val="00032CD6"/>
    <w:rsid w:val="000333C1"/>
    <w:rsid w:val="000408CE"/>
    <w:rsid w:val="000416CD"/>
    <w:rsid w:val="000437CC"/>
    <w:rsid w:val="00043920"/>
    <w:rsid w:val="00043E30"/>
    <w:rsid w:val="00044C4A"/>
    <w:rsid w:val="000450FA"/>
    <w:rsid w:val="000460B9"/>
    <w:rsid w:val="00046F19"/>
    <w:rsid w:val="000509CC"/>
    <w:rsid w:val="00051E4D"/>
    <w:rsid w:val="00052420"/>
    <w:rsid w:val="00052521"/>
    <w:rsid w:val="00053410"/>
    <w:rsid w:val="00053543"/>
    <w:rsid w:val="00060A3A"/>
    <w:rsid w:val="000622AD"/>
    <w:rsid w:val="00062961"/>
    <w:rsid w:val="00062AB8"/>
    <w:rsid w:val="00062D23"/>
    <w:rsid w:val="00063CF2"/>
    <w:rsid w:val="00064EC4"/>
    <w:rsid w:val="00065DC3"/>
    <w:rsid w:val="00066700"/>
    <w:rsid w:val="000670DC"/>
    <w:rsid w:val="00070E21"/>
    <w:rsid w:val="000743CA"/>
    <w:rsid w:val="000747E6"/>
    <w:rsid w:val="000754CE"/>
    <w:rsid w:val="000762D6"/>
    <w:rsid w:val="00076B58"/>
    <w:rsid w:val="00082ABF"/>
    <w:rsid w:val="000837F7"/>
    <w:rsid w:val="000850E8"/>
    <w:rsid w:val="00085A1D"/>
    <w:rsid w:val="00087A57"/>
    <w:rsid w:val="000933FC"/>
    <w:rsid w:val="00093C4D"/>
    <w:rsid w:val="000946EF"/>
    <w:rsid w:val="00094BF9"/>
    <w:rsid w:val="000950BD"/>
    <w:rsid w:val="00097A44"/>
    <w:rsid w:val="000A0E44"/>
    <w:rsid w:val="000A1018"/>
    <w:rsid w:val="000A3585"/>
    <w:rsid w:val="000A3733"/>
    <w:rsid w:val="000A3897"/>
    <w:rsid w:val="000A3A10"/>
    <w:rsid w:val="000A43A4"/>
    <w:rsid w:val="000A4FBA"/>
    <w:rsid w:val="000A53E2"/>
    <w:rsid w:val="000A63EF"/>
    <w:rsid w:val="000A6684"/>
    <w:rsid w:val="000A6A4C"/>
    <w:rsid w:val="000A772C"/>
    <w:rsid w:val="000A778C"/>
    <w:rsid w:val="000A7D88"/>
    <w:rsid w:val="000B0358"/>
    <w:rsid w:val="000B197F"/>
    <w:rsid w:val="000B29AF"/>
    <w:rsid w:val="000B51FF"/>
    <w:rsid w:val="000B58A5"/>
    <w:rsid w:val="000B5B56"/>
    <w:rsid w:val="000B639C"/>
    <w:rsid w:val="000B6D98"/>
    <w:rsid w:val="000B6F04"/>
    <w:rsid w:val="000B77DF"/>
    <w:rsid w:val="000B7D81"/>
    <w:rsid w:val="000C04C1"/>
    <w:rsid w:val="000C0CF6"/>
    <w:rsid w:val="000C2016"/>
    <w:rsid w:val="000C2869"/>
    <w:rsid w:val="000C4920"/>
    <w:rsid w:val="000C49EF"/>
    <w:rsid w:val="000C51C6"/>
    <w:rsid w:val="000C5512"/>
    <w:rsid w:val="000C5A00"/>
    <w:rsid w:val="000C67D7"/>
    <w:rsid w:val="000D20E8"/>
    <w:rsid w:val="000D255F"/>
    <w:rsid w:val="000D2579"/>
    <w:rsid w:val="000D3A40"/>
    <w:rsid w:val="000D591F"/>
    <w:rsid w:val="000D7972"/>
    <w:rsid w:val="000D799F"/>
    <w:rsid w:val="000D7A45"/>
    <w:rsid w:val="000E0743"/>
    <w:rsid w:val="000E2C1F"/>
    <w:rsid w:val="000E318A"/>
    <w:rsid w:val="000E3677"/>
    <w:rsid w:val="000E552C"/>
    <w:rsid w:val="000E5569"/>
    <w:rsid w:val="000E66A6"/>
    <w:rsid w:val="000F1695"/>
    <w:rsid w:val="000F24C8"/>
    <w:rsid w:val="000F2B79"/>
    <w:rsid w:val="000F2D28"/>
    <w:rsid w:val="000F4F07"/>
    <w:rsid w:val="000F4FC0"/>
    <w:rsid w:val="000F5E4B"/>
    <w:rsid w:val="000F743E"/>
    <w:rsid w:val="000F7DF5"/>
    <w:rsid w:val="00103EA5"/>
    <w:rsid w:val="0010466D"/>
    <w:rsid w:val="00106CEC"/>
    <w:rsid w:val="0011063C"/>
    <w:rsid w:val="00110B2B"/>
    <w:rsid w:val="00111EEC"/>
    <w:rsid w:val="00113974"/>
    <w:rsid w:val="00113B8A"/>
    <w:rsid w:val="00114121"/>
    <w:rsid w:val="001143F6"/>
    <w:rsid w:val="00115592"/>
    <w:rsid w:val="0011584C"/>
    <w:rsid w:val="00115D79"/>
    <w:rsid w:val="00120090"/>
    <w:rsid w:val="00120A92"/>
    <w:rsid w:val="001213B6"/>
    <w:rsid w:val="00121DE8"/>
    <w:rsid w:val="0012419D"/>
    <w:rsid w:val="0012774F"/>
    <w:rsid w:val="001308B4"/>
    <w:rsid w:val="00130926"/>
    <w:rsid w:val="001314F4"/>
    <w:rsid w:val="001340DA"/>
    <w:rsid w:val="00134522"/>
    <w:rsid w:val="00135191"/>
    <w:rsid w:val="00135F14"/>
    <w:rsid w:val="001372DB"/>
    <w:rsid w:val="00137F7E"/>
    <w:rsid w:val="0014057F"/>
    <w:rsid w:val="0014095A"/>
    <w:rsid w:val="00142210"/>
    <w:rsid w:val="0014325A"/>
    <w:rsid w:val="0014431A"/>
    <w:rsid w:val="00144BE4"/>
    <w:rsid w:val="0014541B"/>
    <w:rsid w:val="00145FCE"/>
    <w:rsid w:val="00147E2F"/>
    <w:rsid w:val="00150179"/>
    <w:rsid w:val="00150395"/>
    <w:rsid w:val="00151898"/>
    <w:rsid w:val="00153581"/>
    <w:rsid w:val="001537CB"/>
    <w:rsid w:val="00153856"/>
    <w:rsid w:val="0015445C"/>
    <w:rsid w:val="001549DF"/>
    <w:rsid w:val="001552D0"/>
    <w:rsid w:val="00156AA7"/>
    <w:rsid w:val="00161680"/>
    <w:rsid w:val="001619B3"/>
    <w:rsid w:val="00162C74"/>
    <w:rsid w:val="00166020"/>
    <w:rsid w:val="001704AE"/>
    <w:rsid w:val="00170C96"/>
    <w:rsid w:val="00172970"/>
    <w:rsid w:val="00173578"/>
    <w:rsid w:val="00174780"/>
    <w:rsid w:val="00174D61"/>
    <w:rsid w:val="001765F1"/>
    <w:rsid w:val="00176E09"/>
    <w:rsid w:val="00177177"/>
    <w:rsid w:val="001811C9"/>
    <w:rsid w:val="00184D31"/>
    <w:rsid w:val="00187A0D"/>
    <w:rsid w:val="00190557"/>
    <w:rsid w:val="001921EB"/>
    <w:rsid w:val="00192D28"/>
    <w:rsid w:val="00193D2E"/>
    <w:rsid w:val="0019498B"/>
    <w:rsid w:val="00195995"/>
    <w:rsid w:val="001A1D7D"/>
    <w:rsid w:val="001A230C"/>
    <w:rsid w:val="001A2430"/>
    <w:rsid w:val="001A3300"/>
    <w:rsid w:val="001A41E5"/>
    <w:rsid w:val="001A57F2"/>
    <w:rsid w:val="001A5AB4"/>
    <w:rsid w:val="001A6DB5"/>
    <w:rsid w:val="001B1A87"/>
    <w:rsid w:val="001B1F8C"/>
    <w:rsid w:val="001B20C7"/>
    <w:rsid w:val="001B504B"/>
    <w:rsid w:val="001B58B4"/>
    <w:rsid w:val="001B5DA5"/>
    <w:rsid w:val="001C1770"/>
    <w:rsid w:val="001C1D26"/>
    <w:rsid w:val="001C2279"/>
    <w:rsid w:val="001C3BF6"/>
    <w:rsid w:val="001C54F3"/>
    <w:rsid w:val="001C6F3C"/>
    <w:rsid w:val="001D053D"/>
    <w:rsid w:val="001D10B3"/>
    <w:rsid w:val="001D2506"/>
    <w:rsid w:val="001D5544"/>
    <w:rsid w:val="001E4E77"/>
    <w:rsid w:val="001E52A4"/>
    <w:rsid w:val="001E5F5D"/>
    <w:rsid w:val="001E7305"/>
    <w:rsid w:val="001F1720"/>
    <w:rsid w:val="001F1AE9"/>
    <w:rsid w:val="001F4495"/>
    <w:rsid w:val="001F4A2C"/>
    <w:rsid w:val="001F4EA2"/>
    <w:rsid w:val="001F54FE"/>
    <w:rsid w:val="001F6D79"/>
    <w:rsid w:val="001F7C49"/>
    <w:rsid w:val="002004A3"/>
    <w:rsid w:val="0020360B"/>
    <w:rsid w:val="00203D74"/>
    <w:rsid w:val="00204555"/>
    <w:rsid w:val="00205593"/>
    <w:rsid w:val="00206AD2"/>
    <w:rsid w:val="00206DE6"/>
    <w:rsid w:val="00207A0B"/>
    <w:rsid w:val="00207CC9"/>
    <w:rsid w:val="002114B8"/>
    <w:rsid w:val="00211DE7"/>
    <w:rsid w:val="00213A13"/>
    <w:rsid w:val="0021421D"/>
    <w:rsid w:val="00216E5F"/>
    <w:rsid w:val="00216FFB"/>
    <w:rsid w:val="002206CB"/>
    <w:rsid w:val="0022256B"/>
    <w:rsid w:val="00222CD8"/>
    <w:rsid w:val="0022305D"/>
    <w:rsid w:val="002254A9"/>
    <w:rsid w:val="00226893"/>
    <w:rsid w:val="00226C5E"/>
    <w:rsid w:val="0022745D"/>
    <w:rsid w:val="00227659"/>
    <w:rsid w:val="00231CC9"/>
    <w:rsid w:val="0023295F"/>
    <w:rsid w:val="00234396"/>
    <w:rsid w:val="00234EC5"/>
    <w:rsid w:val="00235506"/>
    <w:rsid w:val="00235B3C"/>
    <w:rsid w:val="00240606"/>
    <w:rsid w:val="00240656"/>
    <w:rsid w:val="00242758"/>
    <w:rsid w:val="00245B1D"/>
    <w:rsid w:val="00247D9B"/>
    <w:rsid w:val="00250AD2"/>
    <w:rsid w:val="00252480"/>
    <w:rsid w:val="00252DC9"/>
    <w:rsid w:val="00253BDC"/>
    <w:rsid w:val="00256805"/>
    <w:rsid w:val="002574F8"/>
    <w:rsid w:val="0025758B"/>
    <w:rsid w:val="00257BC5"/>
    <w:rsid w:val="00260ADD"/>
    <w:rsid w:val="00264A6F"/>
    <w:rsid w:val="00265EDF"/>
    <w:rsid w:val="00270783"/>
    <w:rsid w:val="00271C72"/>
    <w:rsid w:val="002720C2"/>
    <w:rsid w:val="002750C8"/>
    <w:rsid w:val="002758F3"/>
    <w:rsid w:val="0027629B"/>
    <w:rsid w:val="002770F5"/>
    <w:rsid w:val="00277A14"/>
    <w:rsid w:val="00280807"/>
    <w:rsid w:val="00280964"/>
    <w:rsid w:val="00281E1B"/>
    <w:rsid w:val="00283274"/>
    <w:rsid w:val="002844BF"/>
    <w:rsid w:val="00285006"/>
    <w:rsid w:val="00285617"/>
    <w:rsid w:val="00285A70"/>
    <w:rsid w:val="00286F17"/>
    <w:rsid w:val="002908F8"/>
    <w:rsid w:val="00294056"/>
    <w:rsid w:val="0029444F"/>
    <w:rsid w:val="002945E3"/>
    <w:rsid w:val="00294BF3"/>
    <w:rsid w:val="0029609C"/>
    <w:rsid w:val="00297717"/>
    <w:rsid w:val="002978F2"/>
    <w:rsid w:val="002A1AE2"/>
    <w:rsid w:val="002A224A"/>
    <w:rsid w:val="002A4653"/>
    <w:rsid w:val="002A4719"/>
    <w:rsid w:val="002A5CC2"/>
    <w:rsid w:val="002A6483"/>
    <w:rsid w:val="002A6EE0"/>
    <w:rsid w:val="002B02D9"/>
    <w:rsid w:val="002B06E2"/>
    <w:rsid w:val="002B0829"/>
    <w:rsid w:val="002B18E8"/>
    <w:rsid w:val="002B24BD"/>
    <w:rsid w:val="002B34C3"/>
    <w:rsid w:val="002B34C8"/>
    <w:rsid w:val="002B44E2"/>
    <w:rsid w:val="002B5BE1"/>
    <w:rsid w:val="002C1469"/>
    <w:rsid w:val="002C218A"/>
    <w:rsid w:val="002C286E"/>
    <w:rsid w:val="002C2ADA"/>
    <w:rsid w:val="002C4442"/>
    <w:rsid w:val="002C4DC6"/>
    <w:rsid w:val="002C53D7"/>
    <w:rsid w:val="002C5781"/>
    <w:rsid w:val="002D0D7B"/>
    <w:rsid w:val="002D2FB1"/>
    <w:rsid w:val="002D3913"/>
    <w:rsid w:val="002D475B"/>
    <w:rsid w:val="002D4807"/>
    <w:rsid w:val="002D4931"/>
    <w:rsid w:val="002D573E"/>
    <w:rsid w:val="002D5D18"/>
    <w:rsid w:val="002D727A"/>
    <w:rsid w:val="002D7767"/>
    <w:rsid w:val="002D7C2C"/>
    <w:rsid w:val="002E01D8"/>
    <w:rsid w:val="002E22AE"/>
    <w:rsid w:val="002E43DD"/>
    <w:rsid w:val="002E5267"/>
    <w:rsid w:val="002E5395"/>
    <w:rsid w:val="002E5711"/>
    <w:rsid w:val="002E5A10"/>
    <w:rsid w:val="002F085C"/>
    <w:rsid w:val="002F0A12"/>
    <w:rsid w:val="002F1CF7"/>
    <w:rsid w:val="002F41C6"/>
    <w:rsid w:val="002F4BD6"/>
    <w:rsid w:val="002F70C6"/>
    <w:rsid w:val="003051FF"/>
    <w:rsid w:val="0030544F"/>
    <w:rsid w:val="00305D30"/>
    <w:rsid w:val="00306D74"/>
    <w:rsid w:val="00307183"/>
    <w:rsid w:val="003129DB"/>
    <w:rsid w:val="00313DE5"/>
    <w:rsid w:val="003147A0"/>
    <w:rsid w:val="003153E6"/>
    <w:rsid w:val="00316CC6"/>
    <w:rsid w:val="0031762D"/>
    <w:rsid w:val="00320042"/>
    <w:rsid w:val="00321FE2"/>
    <w:rsid w:val="00322323"/>
    <w:rsid w:val="00322880"/>
    <w:rsid w:val="00322E18"/>
    <w:rsid w:val="003236D2"/>
    <w:rsid w:val="00323932"/>
    <w:rsid w:val="00323EFA"/>
    <w:rsid w:val="003242B7"/>
    <w:rsid w:val="00324742"/>
    <w:rsid w:val="00324E51"/>
    <w:rsid w:val="003260E7"/>
    <w:rsid w:val="003269F1"/>
    <w:rsid w:val="00326C87"/>
    <w:rsid w:val="00326C93"/>
    <w:rsid w:val="00327CC3"/>
    <w:rsid w:val="003309EF"/>
    <w:rsid w:val="00331B04"/>
    <w:rsid w:val="003320AC"/>
    <w:rsid w:val="00333519"/>
    <w:rsid w:val="00335F62"/>
    <w:rsid w:val="00337989"/>
    <w:rsid w:val="00337EC4"/>
    <w:rsid w:val="0034050D"/>
    <w:rsid w:val="00341593"/>
    <w:rsid w:val="00341DA7"/>
    <w:rsid w:val="00342038"/>
    <w:rsid w:val="00342D01"/>
    <w:rsid w:val="0034707D"/>
    <w:rsid w:val="00347398"/>
    <w:rsid w:val="00347AE6"/>
    <w:rsid w:val="0035023C"/>
    <w:rsid w:val="00350EE5"/>
    <w:rsid w:val="00350F0F"/>
    <w:rsid w:val="00354F66"/>
    <w:rsid w:val="00357116"/>
    <w:rsid w:val="0036006D"/>
    <w:rsid w:val="0036110D"/>
    <w:rsid w:val="00362B09"/>
    <w:rsid w:val="00363718"/>
    <w:rsid w:val="00365243"/>
    <w:rsid w:val="003653E3"/>
    <w:rsid w:val="00365D13"/>
    <w:rsid w:val="00366A05"/>
    <w:rsid w:val="003674FF"/>
    <w:rsid w:val="00367514"/>
    <w:rsid w:val="0037215D"/>
    <w:rsid w:val="003727F9"/>
    <w:rsid w:val="00374F7B"/>
    <w:rsid w:val="0037700E"/>
    <w:rsid w:val="0037755D"/>
    <w:rsid w:val="00380B31"/>
    <w:rsid w:val="00380F16"/>
    <w:rsid w:val="00381609"/>
    <w:rsid w:val="003839BC"/>
    <w:rsid w:val="00383CFA"/>
    <w:rsid w:val="00384ECA"/>
    <w:rsid w:val="00387533"/>
    <w:rsid w:val="003877E1"/>
    <w:rsid w:val="00390859"/>
    <w:rsid w:val="00390A8C"/>
    <w:rsid w:val="00391778"/>
    <w:rsid w:val="0039262C"/>
    <w:rsid w:val="00392FC5"/>
    <w:rsid w:val="0039533B"/>
    <w:rsid w:val="00395B54"/>
    <w:rsid w:val="00397539"/>
    <w:rsid w:val="00397B8C"/>
    <w:rsid w:val="00397EF8"/>
    <w:rsid w:val="003A224D"/>
    <w:rsid w:val="003A328B"/>
    <w:rsid w:val="003A3DD5"/>
    <w:rsid w:val="003A3F52"/>
    <w:rsid w:val="003A43EC"/>
    <w:rsid w:val="003A59B7"/>
    <w:rsid w:val="003A6567"/>
    <w:rsid w:val="003A6BDF"/>
    <w:rsid w:val="003A7712"/>
    <w:rsid w:val="003B0776"/>
    <w:rsid w:val="003B1553"/>
    <w:rsid w:val="003B2BED"/>
    <w:rsid w:val="003B3EDC"/>
    <w:rsid w:val="003B44E8"/>
    <w:rsid w:val="003B609D"/>
    <w:rsid w:val="003B60FF"/>
    <w:rsid w:val="003B6927"/>
    <w:rsid w:val="003B6A7A"/>
    <w:rsid w:val="003B7346"/>
    <w:rsid w:val="003B7A27"/>
    <w:rsid w:val="003C1C71"/>
    <w:rsid w:val="003C28C9"/>
    <w:rsid w:val="003C2EAC"/>
    <w:rsid w:val="003C3D8B"/>
    <w:rsid w:val="003C5082"/>
    <w:rsid w:val="003C5E31"/>
    <w:rsid w:val="003C71E4"/>
    <w:rsid w:val="003D1977"/>
    <w:rsid w:val="003D1B5B"/>
    <w:rsid w:val="003D2371"/>
    <w:rsid w:val="003D362E"/>
    <w:rsid w:val="003D377A"/>
    <w:rsid w:val="003D3CAB"/>
    <w:rsid w:val="003D3DCE"/>
    <w:rsid w:val="003D409C"/>
    <w:rsid w:val="003D4192"/>
    <w:rsid w:val="003D42F2"/>
    <w:rsid w:val="003D5908"/>
    <w:rsid w:val="003D5934"/>
    <w:rsid w:val="003D5EAE"/>
    <w:rsid w:val="003D64CB"/>
    <w:rsid w:val="003D6824"/>
    <w:rsid w:val="003D7D6E"/>
    <w:rsid w:val="003E15BF"/>
    <w:rsid w:val="003E1B83"/>
    <w:rsid w:val="003E6F48"/>
    <w:rsid w:val="003E74FD"/>
    <w:rsid w:val="003F1C6C"/>
    <w:rsid w:val="003F2C6F"/>
    <w:rsid w:val="003F2DBA"/>
    <w:rsid w:val="003F3A2D"/>
    <w:rsid w:val="003F41C6"/>
    <w:rsid w:val="003F46A9"/>
    <w:rsid w:val="003F4799"/>
    <w:rsid w:val="003F5ADC"/>
    <w:rsid w:val="00400055"/>
    <w:rsid w:val="00401F17"/>
    <w:rsid w:val="00402486"/>
    <w:rsid w:val="00405DF7"/>
    <w:rsid w:val="0041004E"/>
    <w:rsid w:val="00410076"/>
    <w:rsid w:val="004122AF"/>
    <w:rsid w:val="004125A7"/>
    <w:rsid w:val="00413F0E"/>
    <w:rsid w:val="0041507A"/>
    <w:rsid w:val="00415089"/>
    <w:rsid w:val="004153E0"/>
    <w:rsid w:val="004160D3"/>
    <w:rsid w:val="00417620"/>
    <w:rsid w:val="0041776B"/>
    <w:rsid w:val="0041777A"/>
    <w:rsid w:val="004179A4"/>
    <w:rsid w:val="00417C86"/>
    <w:rsid w:val="004217AF"/>
    <w:rsid w:val="00424FE8"/>
    <w:rsid w:val="00427A2D"/>
    <w:rsid w:val="004300ED"/>
    <w:rsid w:val="004304DD"/>
    <w:rsid w:val="00431E01"/>
    <w:rsid w:val="004324D2"/>
    <w:rsid w:val="00434473"/>
    <w:rsid w:val="00435CE4"/>
    <w:rsid w:val="00436561"/>
    <w:rsid w:val="0043751F"/>
    <w:rsid w:val="00440282"/>
    <w:rsid w:val="0044237E"/>
    <w:rsid w:val="004436CD"/>
    <w:rsid w:val="00445169"/>
    <w:rsid w:val="004452ED"/>
    <w:rsid w:val="00445B94"/>
    <w:rsid w:val="00445F03"/>
    <w:rsid w:val="00445FC4"/>
    <w:rsid w:val="00447018"/>
    <w:rsid w:val="004507D4"/>
    <w:rsid w:val="00450ABA"/>
    <w:rsid w:val="00451628"/>
    <w:rsid w:val="00453133"/>
    <w:rsid w:val="0045470D"/>
    <w:rsid w:val="004554D3"/>
    <w:rsid w:val="00455644"/>
    <w:rsid w:val="00456467"/>
    <w:rsid w:val="00456528"/>
    <w:rsid w:val="00456B5A"/>
    <w:rsid w:val="004577BC"/>
    <w:rsid w:val="00460BAE"/>
    <w:rsid w:val="004635F1"/>
    <w:rsid w:val="00463A73"/>
    <w:rsid w:val="004643C7"/>
    <w:rsid w:val="004643CA"/>
    <w:rsid w:val="0046446F"/>
    <w:rsid w:val="0046459F"/>
    <w:rsid w:val="00465F2C"/>
    <w:rsid w:val="00466275"/>
    <w:rsid w:val="0046704E"/>
    <w:rsid w:val="00467303"/>
    <w:rsid w:val="00467FF4"/>
    <w:rsid w:val="004709D9"/>
    <w:rsid w:val="00471154"/>
    <w:rsid w:val="004713DD"/>
    <w:rsid w:val="00473C4A"/>
    <w:rsid w:val="00474FD0"/>
    <w:rsid w:val="0047573C"/>
    <w:rsid w:val="004762F5"/>
    <w:rsid w:val="004806B7"/>
    <w:rsid w:val="00480A96"/>
    <w:rsid w:val="00480AFF"/>
    <w:rsid w:val="00481845"/>
    <w:rsid w:val="00481C9A"/>
    <w:rsid w:val="00482F26"/>
    <w:rsid w:val="004834C8"/>
    <w:rsid w:val="0048428B"/>
    <w:rsid w:val="0048618F"/>
    <w:rsid w:val="00486FD4"/>
    <w:rsid w:val="0048721F"/>
    <w:rsid w:val="00490388"/>
    <w:rsid w:val="00491E4A"/>
    <w:rsid w:val="00495973"/>
    <w:rsid w:val="00496935"/>
    <w:rsid w:val="0049795A"/>
    <w:rsid w:val="004A1635"/>
    <w:rsid w:val="004A2882"/>
    <w:rsid w:val="004A4593"/>
    <w:rsid w:val="004A5EF1"/>
    <w:rsid w:val="004A6123"/>
    <w:rsid w:val="004A7B0A"/>
    <w:rsid w:val="004B0FCB"/>
    <w:rsid w:val="004B1DF4"/>
    <w:rsid w:val="004B2A6C"/>
    <w:rsid w:val="004B51CB"/>
    <w:rsid w:val="004B665B"/>
    <w:rsid w:val="004B6CBC"/>
    <w:rsid w:val="004B6CE1"/>
    <w:rsid w:val="004C0EFA"/>
    <w:rsid w:val="004C3930"/>
    <w:rsid w:val="004C40E6"/>
    <w:rsid w:val="004C6329"/>
    <w:rsid w:val="004C70BE"/>
    <w:rsid w:val="004C7587"/>
    <w:rsid w:val="004D1000"/>
    <w:rsid w:val="004D1188"/>
    <w:rsid w:val="004D1333"/>
    <w:rsid w:val="004D170B"/>
    <w:rsid w:val="004D1879"/>
    <w:rsid w:val="004D2BDC"/>
    <w:rsid w:val="004D3B27"/>
    <w:rsid w:val="004D3D1F"/>
    <w:rsid w:val="004D44C7"/>
    <w:rsid w:val="004D470D"/>
    <w:rsid w:val="004D5AB9"/>
    <w:rsid w:val="004D6169"/>
    <w:rsid w:val="004E0FD2"/>
    <w:rsid w:val="004E43DE"/>
    <w:rsid w:val="004E4503"/>
    <w:rsid w:val="004E51E0"/>
    <w:rsid w:val="004E5EF8"/>
    <w:rsid w:val="004F04BB"/>
    <w:rsid w:val="004F091B"/>
    <w:rsid w:val="004F1E2A"/>
    <w:rsid w:val="004F3FD4"/>
    <w:rsid w:val="004F4E31"/>
    <w:rsid w:val="004F67C9"/>
    <w:rsid w:val="004F6C42"/>
    <w:rsid w:val="00500170"/>
    <w:rsid w:val="0050272C"/>
    <w:rsid w:val="00502AD0"/>
    <w:rsid w:val="00502C56"/>
    <w:rsid w:val="005037D4"/>
    <w:rsid w:val="0050395A"/>
    <w:rsid w:val="005046EC"/>
    <w:rsid w:val="00504A65"/>
    <w:rsid w:val="005057E2"/>
    <w:rsid w:val="00513566"/>
    <w:rsid w:val="00513FBE"/>
    <w:rsid w:val="00515053"/>
    <w:rsid w:val="00515EA0"/>
    <w:rsid w:val="00516510"/>
    <w:rsid w:val="005168C1"/>
    <w:rsid w:val="0052034C"/>
    <w:rsid w:val="005211FA"/>
    <w:rsid w:val="00522D19"/>
    <w:rsid w:val="00522DD4"/>
    <w:rsid w:val="00523356"/>
    <w:rsid w:val="00523799"/>
    <w:rsid w:val="005257AD"/>
    <w:rsid w:val="00525B36"/>
    <w:rsid w:val="00527551"/>
    <w:rsid w:val="005301EC"/>
    <w:rsid w:val="00531443"/>
    <w:rsid w:val="00532165"/>
    <w:rsid w:val="005336A8"/>
    <w:rsid w:val="00536482"/>
    <w:rsid w:val="00536F09"/>
    <w:rsid w:val="00536F9E"/>
    <w:rsid w:val="00537B41"/>
    <w:rsid w:val="00540526"/>
    <w:rsid w:val="00540557"/>
    <w:rsid w:val="005417DE"/>
    <w:rsid w:val="00542384"/>
    <w:rsid w:val="0054265C"/>
    <w:rsid w:val="00542A72"/>
    <w:rsid w:val="005443AD"/>
    <w:rsid w:val="0054535A"/>
    <w:rsid w:val="005467E7"/>
    <w:rsid w:val="00546B13"/>
    <w:rsid w:val="005475A4"/>
    <w:rsid w:val="005478EA"/>
    <w:rsid w:val="00547CBB"/>
    <w:rsid w:val="00552658"/>
    <w:rsid w:val="0055367B"/>
    <w:rsid w:val="00554977"/>
    <w:rsid w:val="005554BE"/>
    <w:rsid w:val="00556D5C"/>
    <w:rsid w:val="00557DCB"/>
    <w:rsid w:val="00557E4E"/>
    <w:rsid w:val="00561299"/>
    <w:rsid w:val="00561628"/>
    <w:rsid w:val="00561798"/>
    <w:rsid w:val="005625E9"/>
    <w:rsid w:val="00562923"/>
    <w:rsid w:val="00562B2D"/>
    <w:rsid w:val="00563203"/>
    <w:rsid w:val="0056336B"/>
    <w:rsid w:val="00564B52"/>
    <w:rsid w:val="00564C19"/>
    <w:rsid w:val="00564D11"/>
    <w:rsid w:val="00565B05"/>
    <w:rsid w:val="00566C6E"/>
    <w:rsid w:val="00566D4A"/>
    <w:rsid w:val="00571869"/>
    <w:rsid w:val="0057571F"/>
    <w:rsid w:val="00576134"/>
    <w:rsid w:val="00576CF7"/>
    <w:rsid w:val="00583D5A"/>
    <w:rsid w:val="00584A3B"/>
    <w:rsid w:val="00586592"/>
    <w:rsid w:val="0058737C"/>
    <w:rsid w:val="00591EE5"/>
    <w:rsid w:val="00592367"/>
    <w:rsid w:val="005927CF"/>
    <w:rsid w:val="00592C81"/>
    <w:rsid w:val="005957B4"/>
    <w:rsid w:val="005965F1"/>
    <w:rsid w:val="00597316"/>
    <w:rsid w:val="005976FF"/>
    <w:rsid w:val="005A052A"/>
    <w:rsid w:val="005A0964"/>
    <w:rsid w:val="005A1195"/>
    <w:rsid w:val="005A3760"/>
    <w:rsid w:val="005A4403"/>
    <w:rsid w:val="005A4613"/>
    <w:rsid w:val="005A46E3"/>
    <w:rsid w:val="005A5F70"/>
    <w:rsid w:val="005B1341"/>
    <w:rsid w:val="005B1555"/>
    <w:rsid w:val="005B2B5B"/>
    <w:rsid w:val="005B5ED9"/>
    <w:rsid w:val="005B64B0"/>
    <w:rsid w:val="005C00E6"/>
    <w:rsid w:val="005C17B2"/>
    <w:rsid w:val="005C2109"/>
    <w:rsid w:val="005C2DEE"/>
    <w:rsid w:val="005C3089"/>
    <w:rsid w:val="005C308C"/>
    <w:rsid w:val="005C4A7B"/>
    <w:rsid w:val="005C4F53"/>
    <w:rsid w:val="005C5016"/>
    <w:rsid w:val="005C71A3"/>
    <w:rsid w:val="005D0AA5"/>
    <w:rsid w:val="005D3493"/>
    <w:rsid w:val="005D49CE"/>
    <w:rsid w:val="005D5067"/>
    <w:rsid w:val="005D599B"/>
    <w:rsid w:val="005D6C64"/>
    <w:rsid w:val="005D73D7"/>
    <w:rsid w:val="005E2744"/>
    <w:rsid w:val="005E3BA3"/>
    <w:rsid w:val="005E5343"/>
    <w:rsid w:val="005E7E63"/>
    <w:rsid w:val="005F083F"/>
    <w:rsid w:val="005F29E0"/>
    <w:rsid w:val="005F2F2F"/>
    <w:rsid w:val="005F3855"/>
    <w:rsid w:val="005F45F1"/>
    <w:rsid w:val="005F5476"/>
    <w:rsid w:val="005F557C"/>
    <w:rsid w:val="005F6280"/>
    <w:rsid w:val="005F69DE"/>
    <w:rsid w:val="005F77FA"/>
    <w:rsid w:val="005F7963"/>
    <w:rsid w:val="00601A8C"/>
    <w:rsid w:val="00601DC3"/>
    <w:rsid w:val="00605487"/>
    <w:rsid w:val="00607754"/>
    <w:rsid w:val="00612D98"/>
    <w:rsid w:val="00612F38"/>
    <w:rsid w:val="00614316"/>
    <w:rsid w:val="00614D6F"/>
    <w:rsid w:val="00617795"/>
    <w:rsid w:val="006179FE"/>
    <w:rsid w:val="00617E69"/>
    <w:rsid w:val="006213B7"/>
    <w:rsid w:val="006234B4"/>
    <w:rsid w:val="0062377B"/>
    <w:rsid w:val="00623E09"/>
    <w:rsid w:val="00625615"/>
    <w:rsid w:val="00630249"/>
    <w:rsid w:val="0063133B"/>
    <w:rsid w:val="00631B18"/>
    <w:rsid w:val="006333B2"/>
    <w:rsid w:val="00633D5F"/>
    <w:rsid w:val="0063640D"/>
    <w:rsid w:val="0064026D"/>
    <w:rsid w:val="00641028"/>
    <w:rsid w:val="00641BC0"/>
    <w:rsid w:val="00642D17"/>
    <w:rsid w:val="00642ED7"/>
    <w:rsid w:val="00642F9D"/>
    <w:rsid w:val="00644A6A"/>
    <w:rsid w:val="00644ACA"/>
    <w:rsid w:val="00647F4D"/>
    <w:rsid w:val="00653BC6"/>
    <w:rsid w:val="00653D3D"/>
    <w:rsid w:val="00654291"/>
    <w:rsid w:val="00654662"/>
    <w:rsid w:val="00654AB4"/>
    <w:rsid w:val="00655438"/>
    <w:rsid w:val="00660A2A"/>
    <w:rsid w:val="00661897"/>
    <w:rsid w:val="00662BBF"/>
    <w:rsid w:val="00663395"/>
    <w:rsid w:val="00663FD7"/>
    <w:rsid w:val="0066416A"/>
    <w:rsid w:val="0066558F"/>
    <w:rsid w:val="006659BF"/>
    <w:rsid w:val="00665BAC"/>
    <w:rsid w:val="00667CE5"/>
    <w:rsid w:val="0067058F"/>
    <w:rsid w:val="00670898"/>
    <w:rsid w:val="00672FF2"/>
    <w:rsid w:val="00673134"/>
    <w:rsid w:val="00673E76"/>
    <w:rsid w:val="00675273"/>
    <w:rsid w:val="00675351"/>
    <w:rsid w:val="00675CE3"/>
    <w:rsid w:val="0067611D"/>
    <w:rsid w:val="0067654E"/>
    <w:rsid w:val="00677057"/>
    <w:rsid w:val="006771A8"/>
    <w:rsid w:val="006771FE"/>
    <w:rsid w:val="00680001"/>
    <w:rsid w:val="0068138E"/>
    <w:rsid w:val="006849ED"/>
    <w:rsid w:val="00684A45"/>
    <w:rsid w:val="00685C19"/>
    <w:rsid w:val="00686169"/>
    <w:rsid w:val="00687A1E"/>
    <w:rsid w:val="00687D8C"/>
    <w:rsid w:val="00687E4C"/>
    <w:rsid w:val="00690C60"/>
    <w:rsid w:val="00690DB2"/>
    <w:rsid w:val="00692208"/>
    <w:rsid w:val="00692425"/>
    <w:rsid w:val="00693078"/>
    <w:rsid w:val="00693E91"/>
    <w:rsid w:val="006A13B4"/>
    <w:rsid w:val="006A3796"/>
    <w:rsid w:val="006A5374"/>
    <w:rsid w:val="006A66B4"/>
    <w:rsid w:val="006A71A7"/>
    <w:rsid w:val="006A76E8"/>
    <w:rsid w:val="006B0489"/>
    <w:rsid w:val="006B1D3A"/>
    <w:rsid w:val="006B3187"/>
    <w:rsid w:val="006B31A9"/>
    <w:rsid w:val="006B48A7"/>
    <w:rsid w:val="006B55F0"/>
    <w:rsid w:val="006B589B"/>
    <w:rsid w:val="006B789B"/>
    <w:rsid w:val="006B78D4"/>
    <w:rsid w:val="006C0456"/>
    <w:rsid w:val="006C1ED8"/>
    <w:rsid w:val="006C24CF"/>
    <w:rsid w:val="006C3291"/>
    <w:rsid w:val="006C3C72"/>
    <w:rsid w:val="006C635F"/>
    <w:rsid w:val="006D0671"/>
    <w:rsid w:val="006D0CAC"/>
    <w:rsid w:val="006D13D3"/>
    <w:rsid w:val="006D4847"/>
    <w:rsid w:val="006D52C8"/>
    <w:rsid w:val="006D669C"/>
    <w:rsid w:val="006D7D09"/>
    <w:rsid w:val="006E040C"/>
    <w:rsid w:val="006E06F3"/>
    <w:rsid w:val="006E1358"/>
    <w:rsid w:val="006E1D83"/>
    <w:rsid w:val="006E2CC8"/>
    <w:rsid w:val="006E3643"/>
    <w:rsid w:val="006E418D"/>
    <w:rsid w:val="006E4A35"/>
    <w:rsid w:val="006E7582"/>
    <w:rsid w:val="006F08D5"/>
    <w:rsid w:val="006F1206"/>
    <w:rsid w:val="006F194D"/>
    <w:rsid w:val="006F2587"/>
    <w:rsid w:val="006F32D1"/>
    <w:rsid w:val="006F49E2"/>
    <w:rsid w:val="006F63E8"/>
    <w:rsid w:val="006F6A5C"/>
    <w:rsid w:val="006F7994"/>
    <w:rsid w:val="0070072E"/>
    <w:rsid w:val="0070256D"/>
    <w:rsid w:val="00704D0F"/>
    <w:rsid w:val="00704D34"/>
    <w:rsid w:val="007067CD"/>
    <w:rsid w:val="00707430"/>
    <w:rsid w:val="0070786D"/>
    <w:rsid w:val="0071137A"/>
    <w:rsid w:val="00712908"/>
    <w:rsid w:val="00713DDD"/>
    <w:rsid w:val="007141B3"/>
    <w:rsid w:val="007157C1"/>
    <w:rsid w:val="00720BD5"/>
    <w:rsid w:val="007224E8"/>
    <w:rsid w:val="00723D51"/>
    <w:rsid w:val="00724585"/>
    <w:rsid w:val="00724C41"/>
    <w:rsid w:val="00730F2C"/>
    <w:rsid w:val="00732C26"/>
    <w:rsid w:val="00734F33"/>
    <w:rsid w:val="00735B33"/>
    <w:rsid w:val="00735DA6"/>
    <w:rsid w:val="00736E8A"/>
    <w:rsid w:val="00740AB7"/>
    <w:rsid w:val="00744546"/>
    <w:rsid w:val="00745669"/>
    <w:rsid w:val="00746567"/>
    <w:rsid w:val="00747825"/>
    <w:rsid w:val="00752481"/>
    <w:rsid w:val="00753FC7"/>
    <w:rsid w:val="007548A1"/>
    <w:rsid w:val="0075619D"/>
    <w:rsid w:val="00756268"/>
    <w:rsid w:val="00756EA7"/>
    <w:rsid w:val="007605DF"/>
    <w:rsid w:val="00761C1F"/>
    <w:rsid w:val="00761CFD"/>
    <w:rsid w:val="007627E2"/>
    <w:rsid w:val="00765695"/>
    <w:rsid w:val="00765B24"/>
    <w:rsid w:val="00765CF3"/>
    <w:rsid w:val="007664AA"/>
    <w:rsid w:val="007678FF"/>
    <w:rsid w:val="00767D22"/>
    <w:rsid w:val="00770ED7"/>
    <w:rsid w:val="00771551"/>
    <w:rsid w:val="00771603"/>
    <w:rsid w:val="00775B74"/>
    <w:rsid w:val="00775CB8"/>
    <w:rsid w:val="00776463"/>
    <w:rsid w:val="00776706"/>
    <w:rsid w:val="00777CF6"/>
    <w:rsid w:val="007824A3"/>
    <w:rsid w:val="00782979"/>
    <w:rsid w:val="00783395"/>
    <w:rsid w:val="00785575"/>
    <w:rsid w:val="00785E55"/>
    <w:rsid w:val="007860BB"/>
    <w:rsid w:val="00786600"/>
    <w:rsid w:val="00787010"/>
    <w:rsid w:val="00791785"/>
    <w:rsid w:val="00791F6E"/>
    <w:rsid w:val="0079235B"/>
    <w:rsid w:val="00794E98"/>
    <w:rsid w:val="0079538E"/>
    <w:rsid w:val="007954F4"/>
    <w:rsid w:val="0079619A"/>
    <w:rsid w:val="007A18EE"/>
    <w:rsid w:val="007A195E"/>
    <w:rsid w:val="007A261B"/>
    <w:rsid w:val="007A2D23"/>
    <w:rsid w:val="007A32BC"/>
    <w:rsid w:val="007A37EB"/>
    <w:rsid w:val="007A3E0C"/>
    <w:rsid w:val="007A510D"/>
    <w:rsid w:val="007A52BA"/>
    <w:rsid w:val="007A5364"/>
    <w:rsid w:val="007A6FC3"/>
    <w:rsid w:val="007A756D"/>
    <w:rsid w:val="007A7699"/>
    <w:rsid w:val="007A7BFF"/>
    <w:rsid w:val="007B0B0B"/>
    <w:rsid w:val="007B263C"/>
    <w:rsid w:val="007B3B4A"/>
    <w:rsid w:val="007B5770"/>
    <w:rsid w:val="007B5A1B"/>
    <w:rsid w:val="007B66DE"/>
    <w:rsid w:val="007B682B"/>
    <w:rsid w:val="007B70FE"/>
    <w:rsid w:val="007C1569"/>
    <w:rsid w:val="007C2307"/>
    <w:rsid w:val="007C2E84"/>
    <w:rsid w:val="007C4323"/>
    <w:rsid w:val="007C4548"/>
    <w:rsid w:val="007C4FD4"/>
    <w:rsid w:val="007C674D"/>
    <w:rsid w:val="007C7D73"/>
    <w:rsid w:val="007D1630"/>
    <w:rsid w:val="007D3CCC"/>
    <w:rsid w:val="007D41A1"/>
    <w:rsid w:val="007D4564"/>
    <w:rsid w:val="007D4C34"/>
    <w:rsid w:val="007D4E66"/>
    <w:rsid w:val="007D51F9"/>
    <w:rsid w:val="007D65F1"/>
    <w:rsid w:val="007D74D9"/>
    <w:rsid w:val="007E072B"/>
    <w:rsid w:val="007E11E9"/>
    <w:rsid w:val="007E4B27"/>
    <w:rsid w:val="007E4F8A"/>
    <w:rsid w:val="007E51CA"/>
    <w:rsid w:val="007E626D"/>
    <w:rsid w:val="007E62B1"/>
    <w:rsid w:val="007E6E58"/>
    <w:rsid w:val="007F187E"/>
    <w:rsid w:val="007F21B1"/>
    <w:rsid w:val="007F2755"/>
    <w:rsid w:val="007F2C15"/>
    <w:rsid w:val="007F2EF3"/>
    <w:rsid w:val="007F3960"/>
    <w:rsid w:val="007F3AAA"/>
    <w:rsid w:val="007F3BEA"/>
    <w:rsid w:val="007F77E4"/>
    <w:rsid w:val="00800775"/>
    <w:rsid w:val="00800EBA"/>
    <w:rsid w:val="008024E0"/>
    <w:rsid w:val="00802747"/>
    <w:rsid w:val="00802C9F"/>
    <w:rsid w:val="00804B5B"/>
    <w:rsid w:val="00805A7E"/>
    <w:rsid w:val="00807A3D"/>
    <w:rsid w:val="00807C83"/>
    <w:rsid w:val="0081365B"/>
    <w:rsid w:val="00814676"/>
    <w:rsid w:val="0081499F"/>
    <w:rsid w:val="0081514E"/>
    <w:rsid w:val="008168E0"/>
    <w:rsid w:val="00817872"/>
    <w:rsid w:val="00821BB7"/>
    <w:rsid w:val="008231DE"/>
    <w:rsid w:val="008237FD"/>
    <w:rsid w:val="008239A7"/>
    <w:rsid w:val="00825D83"/>
    <w:rsid w:val="008265A2"/>
    <w:rsid w:val="008265B8"/>
    <w:rsid w:val="00827A18"/>
    <w:rsid w:val="00832053"/>
    <w:rsid w:val="0083217F"/>
    <w:rsid w:val="00834391"/>
    <w:rsid w:val="00837F47"/>
    <w:rsid w:val="008402E1"/>
    <w:rsid w:val="008421A2"/>
    <w:rsid w:val="00842AB1"/>
    <w:rsid w:val="00843068"/>
    <w:rsid w:val="00844158"/>
    <w:rsid w:val="00844D4C"/>
    <w:rsid w:val="00844EC4"/>
    <w:rsid w:val="0084657F"/>
    <w:rsid w:val="00846C09"/>
    <w:rsid w:val="00846D00"/>
    <w:rsid w:val="0084753E"/>
    <w:rsid w:val="008501FF"/>
    <w:rsid w:val="008511A8"/>
    <w:rsid w:val="00852FD6"/>
    <w:rsid w:val="00852FE2"/>
    <w:rsid w:val="00853D1B"/>
    <w:rsid w:val="0085546D"/>
    <w:rsid w:val="00856225"/>
    <w:rsid w:val="00862EA6"/>
    <w:rsid w:val="00862F52"/>
    <w:rsid w:val="00866249"/>
    <w:rsid w:val="00866615"/>
    <w:rsid w:val="00866647"/>
    <w:rsid w:val="00866B5D"/>
    <w:rsid w:val="00867179"/>
    <w:rsid w:val="00867B60"/>
    <w:rsid w:val="0087172A"/>
    <w:rsid w:val="00873009"/>
    <w:rsid w:val="00873959"/>
    <w:rsid w:val="0087406C"/>
    <w:rsid w:val="00880DAB"/>
    <w:rsid w:val="0088172D"/>
    <w:rsid w:val="008820FE"/>
    <w:rsid w:val="008831FF"/>
    <w:rsid w:val="00884B21"/>
    <w:rsid w:val="00885AAE"/>
    <w:rsid w:val="00885D6D"/>
    <w:rsid w:val="00885E82"/>
    <w:rsid w:val="008865C5"/>
    <w:rsid w:val="00886C35"/>
    <w:rsid w:val="00887830"/>
    <w:rsid w:val="0088783A"/>
    <w:rsid w:val="00887F04"/>
    <w:rsid w:val="008907F7"/>
    <w:rsid w:val="00890DBB"/>
    <w:rsid w:val="008910B7"/>
    <w:rsid w:val="00891827"/>
    <w:rsid w:val="00891F62"/>
    <w:rsid w:val="008923E8"/>
    <w:rsid w:val="0089278E"/>
    <w:rsid w:val="00892CAA"/>
    <w:rsid w:val="00893C29"/>
    <w:rsid w:val="00893D2C"/>
    <w:rsid w:val="00893D4B"/>
    <w:rsid w:val="008943B1"/>
    <w:rsid w:val="00895B35"/>
    <w:rsid w:val="00896523"/>
    <w:rsid w:val="00897233"/>
    <w:rsid w:val="008A12DD"/>
    <w:rsid w:val="008A193D"/>
    <w:rsid w:val="008A1E1C"/>
    <w:rsid w:val="008A1EEC"/>
    <w:rsid w:val="008A2D30"/>
    <w:rsid w:val="008A3004"/>
    <w:rsid w:val="008A32C1"/>
    <w:rsid w:val="008A37C5"/>
    <w:rsid w:val="008A5A10"/>
    <w:rsid w:val="008A66EC"/>
    <w:rsid w:val="008A79A4"/>
    <w:rsid w:val="008B1837"/>
    <w:rsid w:val="008B3C00"/>
    <w:rsid w:val="008B4C5C"/>
    <w:rsid w:val="008B7AEB"/>
    <w:rsid w:val="008C24C4"/>
    <w:rsid w:val="008C3104"/>
    <w:rsid w:val="008C450B"/>
    <w:rsid w:val="008C518D"/>
    <w:rsid w:val="008C64CE"/>
    <w:rsid w:val="008C6B9E"/>
    <w:rsid w:val="008C6CFC"/>
    <w:rsid w:val="008C7018"/>
    <w:rsid w:val="008D26D8"/>
    <w:rsid w:val="008D397B"/>
    <w:rsid w:val="008D40C5"/>
    <w:rsid w:val="008D4356"/>
    <w:rsid w:val="008D4472"/>
    <w:rsid w:val="008D4D45"/>
    <w:rsid w:val="008D56D0"/>
    <w:rsid w:val="008D59AC"/>
    <w:rsid w:val="008D65C1"/>
    <w:rsid w:val="008E0C44"/>
    <w:rsid w:val="008E14B2"/>
    <w:rsid w:val="008E1B3E"/>
    <w:rsid w:val="008E3DD9"/>
    <w:rsid w:val="008E3F85"/>
    <w:rsid w:val="008E4789"/>
    <w:rsid w:val="008E5391"/>
    <w:rsid w:val="008E5F42"/>
    <w:rsid w:val="008E73B2"/>
    <w:rsid w:val="008E77EF"/>
    <w:rsid w:val="008E78B8"/>
    <w:rsid w:val="008F0124"/>
    <w:rsid w:val="008F061E"/>
    <w:rsid w:val="008F3508"/>
    <w:rsid w:val="008F443C"/>
    <w:rsid w:val="008F46A1"/>
    <w:rsid w:val="008F5F96"/>
    <w:rsid w:val="008F6842"/>
    <w:rsid w:val="008F6ACD"/>
    <w:rsid w:val="008F7D1F"/>
    <w:rsid w:val="00900E11"/>
    <w:rsid w:val="00901303"/>
    <w:rsid w:val="00901E9C"/>
    <w:rsid w:val="00902C11"/>
    <w:rsid w:val="00903808"/>
    <w:rsid w:val="00903B7D"/>
    <w:rsid w:val="009046F4"/>
    <w:rsid w:val="0090470B"/>
    <w:rsid w:val="00905DDD"/>
    <w:rsid w:val="00907ACE"/>
    <w:rsid w:val="00907ED7"/>
    <w:rsid w:val="009103C9"/>
    <w:rsid w:val="00910D90"/>
    <w:rsid w:val="00911B6E"/>
    <w:rsid w:val="00911C2A"/>
    <w:rsid w:val="00911ED7"/>
    <w:rsid w:val="009129CA"/>
    <w:rsid w:val="00912CC9"/>
    <w:rsid w:val="00915C6D"/>
    <w:rsid w:val="00915F7A"/>
    <w:rsid w:val="00917479"/>
    <w:rsid w:val="009241FD"/>
    <w:rsid w:val="009272BB"/>
    <w:rsid w:val="00927BE9"/>
    <w:rsid w:val="00927D06"/>
    <w:rsid w:val="009309EA"/>
    <w:rsid w:val="00930EF8"/>
    <w:rsid w:val="009319EF"/>
    <w:rsid w:val="0093201B"/>
    <w:rsid w:val="00932D45"/>
    <w:rsid w:val="0093305C"/>
    <w:rsid w:val="009331B6"/>
    <w:rsid w:val="009331DE"/>
    <w:rsid w:val="0093612E"/>
    <w:rsid w:val="009417FB"/>
    <w:rsid w:val="009430A3"/>
    <w:rsid w:val="00943413"/>
    <w:rsid w:val="00943FF0"/>
    <w:rsid w:val="0094680D"/>
    <w:rsid w:val="00950BFF"/>
    <w:rsid w:val="00950F79"/>
    <w:rsid w:val="00951FDE"/>
    <w:rsid w:val="009523D0"/>
    <w:rsid w:val="00952F2F"/>
    <w:rsid w:val="009538F6"/>
    <w:rsid w:val="00953E29"/>
    <w:rsid w:val="00954FEC"/>
    <w:rsid w:val="0095619B"/>
    <w:rsid w:val="009574B0"/>
    <w:rsid w:val="0095760B"/>
    <w:rsid w:val="00960147"/>
    <w:rsid w:val="0096033D"/>
    <w:rsid w:val="00960627"/>
    <w:rsid w:val="0096281E"/>
    <w:rsid w:val="00962F6D"/>
    <w:rsid w:val="00965CD7"/>
    <w:rsid w:val="00967264"/>
    <w:rsid w:val="009705FF"/>
    <w:rsid w:val="00970B8B"/>
    <w:rsid w:val="009718B1"/>
    <w:rsid w:val="00971EFA"/>
    <w:rsid w:val="009722D3"/>
    <w:rsid w:val="00972845"/>
    <w:rsid w:val="00976C4D"/>
    <w:rsid w:val="00977C74"/>
    <w:rsid w:val="00980BF0"/>
    <w:rsid w:val="00981C50"/>
    <w:rsid w:val="00981F78"/>
    <w:rsid w:val="00983B08"/>
    <w:rsid w:val="00985FDE"/>
    <w:rsid w:val="00986F43"/>
    <w:rsid w:val="009872AD"/>
    <w:rsid w:val="0098749A"/>
    <w:rsid w:val="00994E67"/>
    <w:rsid w:val="00995A7F"/>
    <w:rsid w:val="00995E15"/>
    <w:rsid w:val="009963AC"/>
    <w:rsid w:val="00996D90"/>
    <w:rsid w:val="00997DDD"/>
    <w:rsid w:val="00997E77"/>
    <w:rsid w:val="009A04D9"/>
    <w:rsid w:val="009A0AEC"/>
    <w:rsid w:val="009A0DA7"/>
    <w:rsid w:val="009A32B9"/>
    <w:rsid w:val="009A34BC"/>
    <w:rsid w:val="009A3C04"/>
    <w:rsid w:val="009A5AB0"/>
    <w:rsid w:val="009A5E5C"/>
    <w:rsid w:val="009A60D1"/>
    <w:rsid w:val="009A6C26"/>
    <w:rsid w:val="009A6C7E"/>
    <w:rsid w:val="009A76C4"/>
    <w:rsid w:val="009B17A6"/>
    <w:rsid w:val="009B40E1"/>
    <w:rsid w:val="009B7333"/>
    <w:rsid w:val="009B774E"/>
    <w:rsid w:val="009B7818"/>
    <w:rsid w:val="009C01AF"/>
    <w:rsid w:val="009C03A8"/>
    <w:rsid w:val="009C1385"/>
    <w:rsid w:val="009C1670"/>
    <w:rsid w:val="009C19A7"/>
    <w:rsid w:val="009C531D"/>
    <w:rsid w:val="009C5B78"/>
    <w:rsid w:val="009C6DA8"/>
    <w:rsid w:val="009C791F"/>
    <w:rsid w:val="009C7E2D"/>
    <w:rsid w:val="009D090D"/>
    <w:rsid w:val="009D14B1"/>
    <w:rsid w:val="009D2755"/>
    <w:rsid w:val="009D3019"/>
    <w:rsid w:val="009D4A2D"/>
    <w:rsid w:val="009D4CF9"/>
    <w:rsid w:val="009D58BC"/>
    <w:rsid w:val="009D7100"/>
    <w:rsid w:val="009E1AB7"/>
    <w:rsid w:val="009E2C97"/>
    <w:rsid w:val="009E56F8"/>
    <w:rsid w:val="009E5BD6"/>
    <w:rsid w:val="009E6C28"/>
    <w:rsid w:val="009E6DC2"/>
    <w:rsid w:val="009E76BC"/>
    <w:rsid w:val="009E7BFB"/>
    <w:rsid w:val="009F16AE"/>
    <w:rsid w:val="009F2DF5"/>
    <w:rsid w:val="009F2EE5"/>
    <w:rsid w:val="009F3137"/>
    <w:rsid w:val="009F3E13"/>
    <w:rsid w:val="009F4C4E"/>
    <w:rsid w:val="009F505E"/>
    <w:rsid w:val="009F508F"/>
    <w:rsid w:val="009F7725"/>
    <w:rsid w:val="00A007C7"/>
    <w:rsid w:val="00A00C64"/>
    <w:rsid w:val="00A01487"/>
    <w:rsid w:val="00A0185E"/>
    <w:rsid w:val="00A02A00"/>
    <w:rsid w:val="00A04AD8"/>
    <w:rsid w:val="00A05DC1"/>
    <w:rsid w:val="00A0721F"/>
    <w:rsid w:val="00A0793F"/>
    <w:rsid w:val="00A07CC3"/>
    <w:rsid w:val="00A07E51"/>
    <w:rsid w:val="00A07E5E"/>
    <w:rsid w:val="00A109C8"/>
    <w:rsid w:val="00A10CBD"/>
    <w:rsid w:val="00A11432"/>
    <w:rsid w:val="00A115CE"/>
    <w:rsid w:val="00A12689"/>
    <w:rsid w:val="00A1288A"/>
    <w:rsid w:val="00A131B0"/>
    <w:rsid w:val="00A13243"/>
    <w:rsid w:val="00A1326D"/>
    <w:rsid w:val="00A13956"/>
    <w:rsid w:val="00A160E8"/>
    <w:rsid w:val="00A16500"/>
    <w:rsid w:val="00A17BB0"/>
    <w:rsid w:val="00A23C81"/>
    <w:rsid w:val="00A2411B"/>
    <w:rsid w:val="00A24193"/>
    <w:rsid w:val="00A24A75"/>
    <w:rsid w:val="00A251A7"/>
    <w:rsid w:val="00A26B47"/>
    <w:rsid w:val="00A301DB"/>
    <w:rsid w:val="00A3057B"/>
    <w:rsid w:val="00A3174A"/>
    <w:rsid w:val="00A31B56"/>
    <w:rsid w:val="00A32BEA"/>
    <w:rsid w:val="00A33549"/>
    <w:rsid w:val="00A3357F"/>
    <w:rsid w:val="00A33CFC"/>
    <w:rsid w:val="00A3527F"/>
    <w:rsid w:val="00A352C8"/>
    <w:rsid w:val="00A352E2"/>
    <w:rsid w:val="00A35C8E"/>
    <w:rsid w:val="00A363E9"/>
    <w:rsid w:val="00A36484"/>
    <w:rsid w:val="00A37596"/>
    <w:rsid w:val="00A37914"/>
    <w:rsid w:val="00A4186D"/>
    <w:rsid w:val="00A419A2"/>
    <w:rsid w:val="00A42C44"/>
    <w:rsid w:val="00A444F1"/>
    <w:rsid w:val="00A44B24"/>
    <w:rsid w:val="00A452CD"/>
    <w:rsid w:val="00A45C47"/>
    <w:rsid w:val="00A47EB0"/>
    <w:rsid w:val="00A50F0E"/>
    <w:rsid w:val="00A51BA2"/>
    <w:rsid w:val="00A52245"/>
    <w:rsid w:val="00A5423B"/>
    <w:rsid w:val="00A54C07"/>
    <w:rsid w:val="00A55247"/>
    <w:rsid w:val="00A5532F"/>
    <w:rsid w:val="00A56578"/>
    <w:rsid w:val="00A60822"/>
    <w:rsid w:val="00A61096"/>
    <w:rsid w:val="00A626FB"/>
    <w:rsid w:val="00A6312A"/>
    <w:rsid w:val="00A63EA7"/>
    <w:rsid w:val="00A64774"/>
    <w:rsid w:val="00A64913"/>
    <w:rsid w:val="00A64CA5"/>
    <w:rsid w:val="00A65AAB"/>
    <w:rsid w:val="00A66119"/>
    <w:rsid w:val="00A6659A"/>
    <w:rsid w:val="00A668C9"/>
    <w:rsid w:val="00A70CA1"/>
    <w:rsid w:val="00A71545"/>
    <w:rsid w:val="00A716ED"/>
    <w:rsid w:val="00A7290A"/>
    <w:rsid w:val="00A73483"/>
    <w:rsid w:val="00A74B82"/>
    <w:rsid w:val="00A753B2"/>
    <w:rsid w:val="00A754DB"/>
    <w:rsid w:val="00A75589"/>
    <w:rsid w:val="00A762DE"/>
    <w:rsid w:val="00A769F6"/>
    <w:rsid w:val="00A805F9"/>
    <w:rsid w:val="00A81069"/>
    <w:rsid w:val="00A81102"/>
    <w:rsid w:val="00A82ABC"/>
    <w:rsid w:val="00A83C9F"/>
    <w:rsid w:val="00A84829"/>
    <w:rsid w:val="00A84BD2"/>
    <w:rsid w:val="00A84C05"/>
    <w:rsid w:val="00A861A0"/>
    <w:rsid w:val="00A863E0"/>
    <w:rsid w:val="00A874DC"/>
    <w:rsid w:val="00A87A3C"/>
    <w:rsid w:val="00A87CE0"/>
    <w:rsid w:val="00A87FD8"/>
    <w:rsid w:val="00A91911"/>
    <w:rsid w:val="00A91DE4"/>
    <w:rsid w:val="00A91EF9"/>
    <w:rsid w:val="00A91F0D"/>
    <w:rsid w:val="00A92FBF"/>
    <w:rsid w:val="00A93694"/>
    <w:rsid w:val="00A936EE"/>
    <w:rsid w:val="00A93ACB"/>
    <w:rsid w:val="00A93E65"/>
    <w:rsid w:val="00A9413E"/>
    <w:rsid w:val="00A94B71"/>
    <w:rsid w:val="00A960B7"/>
    <w:rsid w:val="00AA2631"/>
    <w:rsid w:val="00AA277E"/>
    <w:rsid w:val="00AA2D32"/>
    <w:rsid w:val="00AA3CB6"/>
    <w:rsid w:val="00AA408C"/>
    <w:rsid w:val="00AA4171"/>
    <w:rsid w:val="00AA42E2"/>
    <w:rsid w:val="00AA6D1F"/>
    <w:rsid w:val="00AB0EE9"/>
    <w:rsid w:val="00AB1BB0"/>
    <w:rsid w:val="00AB2720"/>
    <w:rsid w:val="00AB2756"/>
    <w:rsid w:val="00AB2D9B"/>
    <w:rsid w:val="00AB55DF"/>
    <w:rsid w:val="00AB627A"/>
    <w:rsid w:val="00AB6C31"/>
    <w:rsid w:val="00AB72B5"/>
    <w:rsid w:val="00AC1A2B"/>
    <w:rsid w:val="00AC1C7E"/>
    <w:rsid w:val="00AC1F27"/>
    <w:rsid w:val="00AC2B34"/>
    <w:rsid w:val="00AC308D"/>
    <w:rsid w:val="00AC3967"/>
    <w:rsid w:val="00AC5C81"/>
    <w:rsid w:val="00AC6321"/>
    <w:rsid w:val="00AC7EC5"/>
    <w:rsid w:val="00AD0305"/>
    <w:rsid w:val="00AD0412"/>
    <w:rsid w:val="00AD1186"/>
    <w:rsid w:val="00AD1E46"/>
    <w:rsid w:val="00AD3B01"/>
    <w:rsid w:val="00AD4034"/>
    <w:rsid w:val="00AD4929"/>
    <w:rsid w:val="00AD4958"/>
    <w:rsid w:val="00AD5FCE"/>
    <w:rsid w:val="00AD6CBE"/>
    <w:rsid w:val="00AE0A69"/>
    <w:rsid w:val="00AE26CA"/>
    <w:rsid w:val="00AE2C84"/>
    <w:rsid w:val="00AE40BB"/>
    <w:rsid w:val="00AE4758"/>
    <w:rsid w:val="00AE4949"/>
    <w:rsid w:val="00AE5763"/>
    <w:rsid w:val="00AE6877"/>
    <w:rsid w:val="00AE6A64"/>
    <w:rsid w:val="00AF2442"/>
    <w:rsid w:val="00AF2A6F"/>
    <w:rsid w:val="00AF2C7E"/>
    <w:rsid w:val="00AF7100"/>
    <w:rsid w:val="00AF7591"/>
    <w:rsid w:val="00AF7643"/>
    <w:rsid w:val="00AF7A44"/>
    <w:rsid w:val="00B00AD1"/>
    <w:rsid w:val="00B00C4B"/>
    <w:rsid w:val="00B00F1C"/>
    <w:rsid w:val="00B0104E"/>
    <w:rsid w:val="00B0144A"/>
    <w:rsid w:val="00B014D3"/>
    <w:rsid w:val="00B01666"/>
    <w:rsid w:val="00B01F00"/>
    <w:rsid w:val="00B02430"/>
    <w:rsid w:val="00B029FD"/>
    <w:rsid w:val="00B03CBC"/>
    <w:rsid w:val="00B046BB"/>
    <w:rsid w:val="00B06AB2"/>
    <w:rsid w:val="00B0707E"/>
    <w:rsid w:val="00B107DB"/>
    <w:rsid w:val="00B11DF7"/>
    <w:rsid w:val="00B12F2A"/>
    <w:rsid w:val="00B1357E"/>
    <w:rsid w:val="00B14634"/>
    <w:rsid w:val="00B16386"/>
    <w:rsid w:val="00B20511"/>
    <w:rsid w:val="00B207D4"/>
    <w:rsid w:val="00B2099C"/>
    <w:rsid w:val="00B30862"/>
    <w:rsid w:val="00B30B2A"/>
    <w:rsid w:val="00B321A3"/>
    <w:rsid w:val="00B32F42"/>
    <w:rsid w:val="00B3356F"/>
    <w:rsid w:val="00B33C3F"/>
    <w:rsid w:val="00B34070"/>
    <w:rsid w:val="00B34BA5"/>
    <w:rsid w:val="00B35200"/>
    <w:rsid w:val="00B35AB0"/>
    <w:rsid w:val="00B37A56"/>
    <w:rsid w:val="00B37FED"/>
    <w:rsid w:val="00B43FAD"/>
    <w:rsid w:val="00B4424E"/>
    <w:rsid w:val="00B44451"/>
    <w:rsid w:val="00B45532"/>
    <w:rsid w:val="00B45864"/>
    <w:rsid w:val="00B50D90"/>
    <w:rsid w:val="00B532E1"/>
    <w:rsid w:val="00B53A33"/>
    <w:rsid w:val="00B54948"/>
    <w:rsid w:val="00B54C0D"/>
    <w:rsid w:val="00B55DE0"/>
    <w:rsid w:val="00B55F44"/>
    <w:rsid w:val="00B567ED"/>
    <w:rsid w:val="00B60D16"/>
    <w:rsid w:val="00B60D48"/>
    <w:rsid w:val="00B62413"/>
    <w:rsid w:val="00B628D7"/>
    <w:rsid w:val="00B636E7"/>
    <w:rsid w:val="00B65895"/>
    <w:rsid w:val="00B663AA"/>
    <w:rsid w:val="00B66AD6"/>
    <w:rsid w:val="00B67067"/>
    <w:rsid w:val="00B679FF"/>
    <w:rsid w:val="00B706B8"/>
    <w:rsid w:val="00B7149F"/>
    <w:rsid w:val="00B7332F"/>
    <w:rsid w:val="00B73AB3"/>
    <w:rsid w:val="00B74D4C"/>
    <w:rsid w:val="00B7737A"/>
    <w:rsid w:val="00B77861"/>
    <w:rsid w:val="00B778A6"/>
    <w:rsid w:val="00B800E7"/>
    <w:rsid w:val="00B81B7F"/>
    <w:rsid w:val="00B82D98"/>
    <w:rsid w:val="00B8420F"/>
    <w:rsid w:val="00B875FB"/>
    <w:rsid w:val="00B87B52"/>
    <w:rsid w:val="00B909A7"/>
    <w:rsid w:val="00B91E09"/>
    <w:rsid w:val="00B92E0E"/>
    <w:rsid w:val="00B943A0"/>
    <w:rsid w:val="00B94BCB"/>
    <w:rsid w:val="00B95CA3"/>
    <w:rsid w:val="00B95D75"/>
    <w:rsid w:val="00B9644C"/>
    <w:rsid w:val="00BA0E94"/>
    <w:rsid w:val="00BA155E"/>
    <w:rsid w:val="00BA2649"/>
    <w:rsid w:val="00BA27D6"/>
    <w:rsid w:val="00BA4205"/>
    <w:rsid w:val="00BA6F7E"/>
    <w:rsid w:val="00BB1691"/>
    <w:rsid w:val="00BB1A0F"/>
    <w:rsid w:val="00BB1D59"/>
    <w:rsid w:val="00BB4633"/>
    <w:rsid w:val="00BB53A2"/>
    <w:rsid w:val="00BB67BE"/>
    <w:rsid w:val="00BB6CF1"/>
    <w:rsid w:val="00BB76DF"/>
    <w:rsid w:val="00BC2662"/>
    <w:rsid w:val="00BC2E87"/>
    <w:rsid w:val="00BC4A3C"/>
    <w:rsid w:val="00BC7347"/>
    <w:rsid w:val="00BD016C"/>
    <w:rsid w:val="00BD0899"/>
    <w:rsid w:val="00BD11DB"/>
    <w:rsid w:val="00BD17F4"/>
    <w:rsid w:val="00BD1A84"/>
    <w:rsid w:val="00BD2273"/>
    <w:rsid w:val="00BD3354"/>
    <w:rsid w:val="00BD42F4"/>
    <w:rsid w:val="00BD4470"/>
    <w:rsid w:val="00BD570B"/>
    <w:rsid w:val="00BE0F06"/>
    <w:rsid w:val="00BE2BDA"/>
    <w:rsid w:val="00BE46B8"/>
    <w:rsid w:val="00BE6104"/>
    <w:rsid w:val="00BE62C9"/>
    <w:rsid w:val="00BE62EE"/>
    <w:rsid w:val="00BE69DA"/>
    <w:rsid w:val="00BE6C38"/>
    <w:rsid w:val="00BF0405"/>
    <w:rsid w:val="00BF1820"/>
    <w:rsid w:val="00BF1A3A"/>
    <w:rsid w:val="00BF1D57"/>
    <w:rsid w:val="00BF4934"/>
    <w:rsid w:val="00BF4D42"/>
    <w:rsid w:val="00BF5572"/>
    <w:rsid w:val="00BF5E0B"/>
    <w:rsid w:val="00BF6679"/>
    <w:rsid w:val="00BF7274"/>
    <w:rsid w:val="00C00BC1"/>
    <w:rsid w:val="00C00F02"/>
    <w:rsid w:val="00C03672"/>
    <w:rsid w:val="00C04381"/>
    <w:rsid w:val="00C04B78"/>
    <w:rsid w:val="00C0518E"/>
    <w:rsid w:val="00C06340"/>
    <w:rsid w:val="00C071CC"/>
    <w:rsid w:val="00C10061"/>
    <w:rsid w:val="00C107AC"/>
    <w:rsid w:val="00C107BD"/>
    <w:rsid w:val="00C1093E"/>
    <w:rsid w:val="00C10D55"/>
    <w:rsid w:val="00C11A95"/>
    <w:rsid w:val="00C11C41"/>
    <w:rsid w:val="00C121F3"/>
    <w:rsid w:val="00C13716"/>
    <w:rsid w:val="00C13F5B"/>
    <w:rsid w:val="00C14896"/>
    <w:rsid w:val="00C14DCB"/>
    <w:rsid w:val="00C15045"/>
    <w:rsid w:val="00C1731F"/>
    <w:rsid w:val="00C21545"/>
    <w:rsid w:val="00C216F9"/>
    <w:rsid w:val="00C227BC"/>
    <w:rsid w:val="00C22F98"/>
    <w:rsid w:val="00C23114"/>
    <w:rsid w:val="00C24E4F"/>
    <w:rsid w:val="00C2512D"/>
    <w:rsid w:val="00C258E7"/>
    <w:rsid w:val="00C30C5B"/>
    <w:rsid w:val="00C310CB"/>
    <w:rsid w:val="00C31111"/>
    <w:rsid w:val="00C32CED"/>
    <w:rsid w:val="00C3308D"/>
    <w:rsid w:val="00C3334B"/>
    <w:rsid w:val="00C33755"/>
    <w:rsid w:val="00C33EA8"/>
    <w:rsid w:val="00C33ECC"/>
    <w:rsid w:val="00C34550"/>
    <w:rsid w:val="00C34627"/>
    <w:rsid w:val="00C352FE"/>
    <w:rsid w:val="00C35E1C"/>
    <w:rsid w:val="00C36E17"/>
    <w:rsid w:val="00C37858"/>
    <w:rsid w:val="00C37860"/>
    <w:rsid w:val="00C41014"/>
    <w:rsid w:val="00C4109C"/>
    <w:rsid w:val="00C427E4"/>
    <w:rsid w:val="00C43003"/>
    <w:rsid w:val="00C4370B"/>
    <w:rsid w:val="00C43A73"/>
    <w:rsid w:val="00C45C18"/>
    <w:rsid w:val="00C46EB3"/>
    <w:rsid w:val="00C503EB"/>
    <w:rsid w:val="00C5111F"/>
    <w:rsid w:val="00C525B2"/>
    <w:rsid w:val="00C55697"/>
    <w:rsid w:val="00C563F1"/>
    <w:rsid w:val="00C62980"/>
    <w:rsid w:val="00C6383F"/>
    <w:rsid w:val="00C64B1A"/>
    <w:rsid w:val="00C67FC5"/>
    <w:rsid w:val="00C70D03"/>
    <w:rsid w:val="00C71E75"/>
    <w:rsid w:val="00C72F1C"/>
    <w:rsid w:val="00C7389D"/>
    <w:rsid w:val="00C7429A"/>
    <w:rsid w:val="00C747F5"/>
    <w:rsid w:val="00C7761F"/>
    <w:rsid w:val="00C77EB5"/>
    <w:rsid w:val="00C80C24"/>
    <w:rsid w:val="00C815E9"/>
    <w:rsid w:val="00C81647"/>
    <w:rsid w:val="00C817CD"/>
    <w:rsid w:val="00C81DE2"/>
    <w:rsid w:val="00C85831"/>
    <w:rsid w:val="00C9026D"/>
    <w:rsid w:val="00C9062E"/>
    <w:rsid w:val="00C90BA1"/>
    <w:rsid w:val="00C91034"/>
    <w:rsid w:val="00C91219"/>
    <w:rsid w:val="00C92116"/>
    <w:rsid w:val="00C92B77"/>
    <w:rsid w:val="00C95330"/>
    <w:rsid w:val="00C95A05"/>
    <w:rsid w:val="00C96A52"/>
    <w:rsid w:val="00C96C11"/>
    <w:rsid w:val="00CA0E1C"/>
    <w:rsid w:val="00CA113F"/>
    <w:rsid w:val="00CA132E"/>
    <w:rsid w:val="00CA1B92"/>
    <w:rsid w:val="00CA3B2C"/>
    <w:rsid w:val="00CA47CB"/>
    <w:rsid w:val="00CA51DA"/>
    <w:rsid w:val="00CB0F42"/>
    <w:rsid w:val="00CB11C3"/>
    <w:rsid w:val="00CB14D9"/>
    <w:rsid w:val="00CB2D92"/>
    <w:rsid w:val="00CB3FEB"/>
    <w:rsid w:val="00CB4797"/>
    <w:rsid w:val="00CB56E7"/>
    <w:rsid w:val="00CB5707"/>
    <w:rsid w:val="00CB6427"/>
    <w:rsid w:val="00CB6768"/>
    <w:rsid w:val="00CB6C29"/>
    <w:rsid w:val="00CB7A0E"/>
    <w:rsid w:val="00CB7C56"/>
    <w:rsid w:val="00CC0298"/>
    <w:rsid w:val="00CC1FEC"/>
    <w:rsid w:val="00CC25E1"/>
    <w:rsid w:val="00CC2D94"/>
    <w:rsid w:val="00CC4FA6"/>
    <w:rsid w:val="00CC6771"/>
    <w:rsid w:val="00CC7130"/>
    <w:rsid w:val="00CC7940"/>
    <w:rsid w:val="00CC7955"/>
    <w:rsid w:val="00CD0487"/>
    <w:rsid w:val="00CD0BF4"/>
    <w:rsid w:val="00CD0CA8"/>
    <w:rsid w:val="00CD11A4"/>
    <w:rsid w:val="00CD141A"/>
    <w:rsid w:val="00CD2F21"/>
    <w:rsid w:val="00CD44EC"/>
    <w:rsid w:val="00CD4ED8"/>
    <w:rsid w:val="00CD72F7"/>
    <w:rsid w:val="00CE0FB9"/>
    <w:rsid w:val="00CE2D74"/>
    <w:rsid w:val="00CE42D0"/>
    <w:rsid w:val="00CE49AC"/>
    <w:rsid w:val="00CE4D70"/>
    <w:rsid w:val="00CE5F3F"/>
    <w:rsid w:val="00CE6738"/>
    <w:rsid w:val="00CF00AD"/>
    <w:rsid w:val="00CF03B3"/>
    <w:rsid w:val="00CF2936"/>
    <w:rsid w:val="00CF4EE3"/>
    <w:rsid w:val="00CF564B"/>
    <w:rsid w:val="00CF6183"/>
    <w:rsid w:val="00CF72A8"/>
    <w:rsid w:val="00D006CF"/>
    <w:rsid w:val="00D0089D"/>
    <w:rsid w:val="00D01AB8"/>
    <w:rsid w:val="00D01EBC"/>
    <w:rsid w:val="00D0242A"/>
    <w:rsid w:val="00D02923"/>
    <w:rsid w:val="00D03EB2"/>
    <w:rsid w:val="00D041E1"/>
    <w:rsid w:val="00D04CD7"/>
    <w:rsid w:val="00D0546E"/>
    <w:rsid w:val="00D05737"/>
    <w:rsid w:val="00D057B7"/>
    <w:rsid w:val="00D05DD6"/>
    <w:rsid w:val="00D05E49"/>
    <w:rsid w:val="00D06958"/>
    <w:rsid w:val="00D06A6A"/>
    <w:rsid w:val="00D0708F"/>
    <w:rsid w:val="00D10D18"/>
    <w:rsid w:val="00D11999"/>
    <w:rsid w:val="00D11BE0"/>
    <w:rsid w:val="00D11E89"/>
    <w:rsid w:val="00D12157"/>
    <w:rsid w:val="00D15C8D"/>
    <w:rsid w:val="00D16115"/>
    <w:rsid w:val="00D16148"/>
    <w:rsid w:val="00D17E71"/>
    <w:rsid w:val="00D200A7"/>
    <w:rsid w:val="00D215EF"/>
    <w:rsid w:val="00D215F5"/>
    <w:rsid w:val="00D225F3"/>
    <w:rsid w:val="00D227A2"/>
    <w:rsid w:val="00D22E1E"/>
    <w:rsid w:val="00D23C6E"/>
    <w:rsid w:val="00D23C83"/>
    <w:rsid w:val="00D25422"/>
    <w:rsid w:val="00D259DD"/>
    <w:rsid w:val="00D26594"/>
    <w:rsid w:val="00D27BD2"/>
    <w:rsid w:val="00D30266"/>
    <w:rsid w:val="00D33FD4"/>
    <w:rsid w:val="00D340CE"/>
    <w:rsid w:val="00D3550F"/>
    <w:rsid w:val="00D356FE"/>
    <w:rsid w:val="00D36337"/>
    <w:rsid w:val="00D4005D"/>
    <w:rsid w:val="00D40285"/>
    <w:rsid w:val="00D41998"/>
    <w:rsid w:val="00D42004"/>
    <w:rsid w:val="00D42CF0"/>
    <w:rsid w:val="00D444EE"/>
    <w:rsid w:val="00D44E21"/>
    <w:rsid w:val="00D45BB9"/>
    <w:rsid w:val="00D45FD8"/>
    <w:rsid w:val="00D4623F"/>
    <w:rsid w:val="00D47C13"/>
    <w:rsid w:val="00D516B0"/>
    <w:rsid w:val="00D517ED"/>
    <w:rsid w:val="00D51A28"/>
    <w:rsid w:val="00D52DD8"/>
    <w:rsid w:val="00D54E63"/>
    <w:rsid w:val="00D56DFA"/>
    <w:rsid w:val="00D60F8E"/>
    <w:rsid w:val="00D645C5"/>
    <w:rsid w:val="00D6623C"/>
    <w:rsid w:val="00D70244"/>
    <w:rsid w:val="00D7148A"/>
    <w:rsid w:val="00D71DC1"/>
    <w:rsid w:val="00D7245F"/>
    <w:rsid w:val="00D72F2F"/>
    <w:rsid w:val="00D72FF7"/>
    <w:rsid w:val="00D73B7C"/>
    <w:rsid w:val="00D74024"/>
    <w:rsid w:val="00D7466F"/>
    <w:rsid w:val="00D7614D"/>
    <w:rsid w:val="00D7684F"/>
    <w:rsid w:val="00D8144E"/>
    <w:rsid w:val="00D8196F"/>
    <w:rsid w:val="00D829C5"/>
    <w:rsid w:val="00D82D2B"/>
    <w:rsid w:val="00D832B3"/>
    <w:rsid w:val="00D87A48"/>
    <w:rsid w:val="00D87A86"/>
    <w:rsid w:val="00D903FE"/>
    <w:rsid w:val="00D912C0"/>
    <w:rsid w:val="00D91338"/>
    <w:rsid w:val="00D91424"/>
    <w:rsid w:val="00D955F9"/>
    <w:rsid w:val="00D976E6"/>
    <w:rsid w:val="00DA1188"/>
    <w:rsid w:val="00DA3C2B"/>
    <w:rsid w:val="00DA3E84"/>
    <w:rsid w:val="00DA4664"/>
    <w:rsid w:val="00DA4D24"/>
    <w:rsid w:val="00DA5C7B"/>
    <w:rsid w:val="00DA6193"/>
    <w:rsid w:val="00DA6879"/>
    <w:rsid w:val="00DA6EDF"/>
    <w:rsid w:val="00DA761A"/>
    <w:rsid w:val="00DB05A3"/>
    <w:rsid w:val="00DB207B"/>
    <w:rsid w:val="00DB2087"/>
    <w:rsid w:val="00DB2228"/>
    <w:rsid w:val="00DB335E"/>
    <w:rsid w:val="00DB3742"/>
    <w:rsid w:val="00DB3F86"/>
    <w:rsid w:val="00DB47BE"/>
    <w:rsid w:val="00DB50C4"/>
    <w:rsid w:val="00DB587E"/>
    <w:rsid w:val="00DB7AD5"/>
    <w:rsid w:val="00DC0DA6"/>
    <w:rsid w:val="00DC19EF"/>
    <w:rsid w:val="00DC1BBC"/>
    <w:rsid w:val="00DC1F9F"/>
    <w:rsid w:val="00DC2DB9"/>
    <w:rsid w:val="00DC4DE1"/>
    <w:rsid w:val="00DC5E42"/>
    <w:rsid w:val="00DC65B9"/>
    <w:rsid w:val="00DD18DE"/>
    <w:rsid w:val="00DD38F4"/>
    <w:rsid w:val="00DD483B"/>
    <w:rsid w:val="00DD6286"/>
    <w:rsid w:val="00DD72D6"/>
    <w:rsid w:val="00DD7D79"/>
    <w:rsid w:val="00DE1853"/>
    <w:rsid w:val="00DE26AE"/>
    <w:rsid w:val="00DE3DF5"/>
    <w:rsid w:val="00DE7362"/>
    <w:rsid w:val="00DE7CB2"/>
    <w:rsid w:val="00DE7E48"/>
    <w:rsid w:val="00DF0360"/>
    <w:rsid w:val="00DF1249"/>
    <w:rsid w:val="00DF180E"/>
    <w:rsid w:val="00DF1DED"/>
    <w:rsid w:val="00DF1FC5"/>
    <w:rsid w:val="00DF3A09"/>
    <w:rsid w:val="00DF3F1D"/>
    <w:rsid w:val="00DF42F2"/>
    <w:rsid w:val="00DF435C"/>
    <w:rsid w:val="00DF5ADB"/>
    <w:rsid w:val="00DF61E6"/>
    <w:rsid w:val="00DF6B7D"/>
    <w:rsid w:val="00DF7E2D"/>
    <w:rsid w:val="00E00272"/>
    <w:rsid w:val="00E00ABC"/>
    <w:rsid w:val="00E036FE"/>
    <w:rsid w:val="00E04B76"/>
    <w:rsid w:val="00E04BFD"/>
    <w:rsid w:val="00E06C10"/>
    <w:rsid w:val="00E07657"/>
    <w:rsid w:val="00E116C6"/>
    <w:rsid w:val="00E1233F"/>
    <w:rsid w:val="00E144E2"/>
    <w:rsid w:val="00E15402"/>
    <w:rsid w:val="00E1796A"/>
    <w:rsid w:val="00E17C0C"/>
    <w:rsid w:val="00E21483"/>
    <w:rsid w:val="00E239C8"/>
    <w:rsid w:val="00E24B54"/>
    <w:rsid w:val="00E24F6C"/>
    <w:rsid w:val="00E2528C"/>
    <w:rsid w:val="00E300CB"/>
    <w:rsid w:val="00E312AA"/>
    <w:rsid w:val="00E31B8B"/>
    <w:rsid w:val="00E31EE7"/>
    <w:rsid w:val="00E344AC"/>
    <w:rsid w:val="00E34D90"/>
    <w:rsid w:val="00E37961"/>
    <w:rsid w:val="00E37B71"/>
    <w:rsid w:val="00E410F8"/>
    <w:rsid w:val="00E4460D"/>
    <w:rsid w:val="00E4553A"/>
    <w:rsid w:val="00E47425"/>
    <w:rsid w:val="00E47713"/>
    <w:rsid w:val="00E47DED"/>
    <w:rsid w:val="00E56B5D"/>
    <w:rsid w:val="00E5719D"/>
    <w:rsid w:val="00E5794C"/>
    <w:rsid w:val="00E611DF"/>
    <w:rsid w:val="00E62FE5"/>
    <w:rsid w:val="00E6343D"/>
    <w:rsid w:val="00E63764"/>
    <w:rsid w:val="00E63A1B"/>
    <w:rsid w:val="00E652AE"/>
    <w:rsid w:val="00E65880"/>
    <w:rsid w:val="00E66652"/>
    <w:rsid w:val="00E70F04"/>
    <w:rsid w:val="00E75037"/>
    <w:rsid w:val="00E765BB"/>
    <w:rsid w:val="00E774EA"/>
    <w:rsid w:val="00E80329"/>
    <w:rsid w:val="00E803A8"/>
    <w:rsid w:val="00E80CB0"/>
    <w:rsid w:val="00E8138A"/>
    <w:rsid w:val="00E81D20"/>
    <w:rsid w:val="00E83723"/>
    <w:rsid w:val="00E85A84"/>
    <w:rsid w:val="00E879D9"/>
    <w:rsid w:val="00E9096C"/>
    <w:rsid w:val="00E90F47"/>
    <w:rsid w:val="00E92D29"/>
    <w:rsid w:val="00E93C36"/>
    <w:rsid w:val="00E96F44"/>
    <w:rsid w:val="00E97759"/>
    <w:rsid w:val="00EA365C"/>
    <w:rsid w:val="00EA434F"/>
    <w:rsid w:val="00EA4380"/>
    <w:rsid w:val="00EA5635"/>
    <w:rsid w:val="00EA63DD"/>
    <w:rsid w:val="00EA6FED"/>
    <w:rsid w:val="00EA73A1"/>
    <w:rsid w:val="00EA7D40"/>
    <w:rsid w:val="00EA7EC6"/>
    <w:rsid w:val="00EB085F"/>
    <w:rsid w:val="00EB0966"/>
    <w:rsid w:val="00EB13FB"/>
    <w:rsid w:val="00EB1692"/>
    <w:rsid w:val="00EB19B8"/>
    <w:rsid w:val="00EB302A"/>
    <w:rsid w:val="00EB37F1"/>
    <w:rsid w:val="00EB5D90"/>
    <w:rsid w:val="00EC0269"/>
    <w:rsid w:val="00EC0802"/>
    <w:rsid w:val="00EC0C60"/>
    <w:rsid w:val="00EC116E"/>
    <w:rsid w:val="00EC2258"/>
    <w:rsid w:val="00EC2771"/>
    <w:rsid w:val="00EC286C"/>
    <w:rsid w:val="00EC37C1"/>
    <w:rsid w:val="00EC3C50"/>
    <w:rsid w:val="00EC3F23"/>
    <w:rsid w:val="00EC429B"/>
    <w:rsid w:val="00EC6346"/>
    <w:rsid w:val="00EC710A"/>
    <w:rsid w:val="00ED1EAD"/>
    <w:rsid w:val="00ED232F"/>
    <w:rsid w:val="00ED3749"/>
    <w:rsid w:val="00ED4CFF"/>
    <w:rsid w:val="00EE0D08"/>
    <w:rsid w:val="00EE137E"/>
    <w:rsid w:val="00EE4CA6"/>
    <w:rsid w:val="00EE64C7"/>
    <w:rsid w:val="00EE68A4"/>
    <w:rsid w:val="00EE7915"/>
    <w:rsid w:val="00EF036A"/>
    <w:rsid w:val="00EF0BB2"/>
    <w:rsid w:val="00EF14D3"/>
    <w:rsid w:val="00EF1D81"/>
    <w:rsid w:val="00EF6BBA"/>
    <w:rsid w:val="00F012BF"/>
    <w:rsid w:val="00F035B5"/>
    <w:rsid w:val="00F0451D"/>
    <w:rsid w:val="00F0552C"/>
    <w:rsid w:val="00F06CAB"/>
    <w:rsid w:val="00F10609"/>
    <w:rsid w:val="00F10D17"/>
    <w:rsid w:val="00F1158C"/>
    <w:rsid w:val="00F142CC"/>
    <w:rsid w:val="00F15D75"/>
    <w:rsid w:val="00F17E48"/>
    <w:rsid w:val="00F2174C"/>
    <w:rsid w:val="00F241BE"/>
    <w:rsid w:val="00F2495C"/>
    <w:rsid w:val="00F30196"/>
    <w:rsid w:val="00F31132"/>
    <w:rsid w:val="00F3159D"/>
    <w:rsid w:val="00F3164E"/>
    <w:rsid w:val="00F341E8"/>
    <w:rsid w:val="00F342E4"/>
    <w:rsid w:val="00F3565C"/>
    <w:rsid w:val="00F35947"/>
    <w:rsid w:val="00F35BD5"/>
    <w:rsid w:val="00F3608C"/>
    <w:rsid w:val="00F37061"/>
    <w:rsid w:val="00F372C5"/>
    <w:rsid w:val="00F4086D"/>
    <w:rsid w:val="00F43981"/>
    <w:rsid w:val="00F44A13"/>
    <w:rsid w:val="00F45401"/>
    <w:rsid w:val="00F463B5"/>
    <w:rsid w:val="00F47000"/>
    <w:rsid w:val="00F47C58"/>
    <w:rsid w:val="00F51E4D"/>
    <w:rsid w:val="00F5203E"/>
    <w:rsid w:val="00F53412"/>
    <w:rsid w:val="00F53B50"/>
    <w:rsid w:val="00F53C6F"/>
    <w:rsid w:val="00F56ABC"/>
    <w:rsid w:val="00F57145"/>
    <w:rsid w:val="00F57D09"/>
    <w:rsid w:val="00F604CA"/>
    <w:rsid w:val="00F60D67"/>
    <w:rsid w:val="00F613A1"/>
    <w:rsid w:val="00F61A1E"/>
    <w:rsid w:val="00F61A51"/>
    <w:rsid w:val="00F62D1D"/>
    <w:rsid w:val="00F64860"/>
    <w:rsid w:val="00F64B73"/>
    <w:rsid w:val="00F651A2"/>
    <w:rsid w:val="00F653F7"/>
    <w:rsid w:val="00F6557F"/>
    <w:rsid w:val="00F658BF"/>
    <w:rsid w:val="00F66E5A"/>
    <w:rsid w:val="00F67082"/>
    <w:rsid w:val="00F67859"/>
    <w:rsid w:val="00F72C17"/>
    <w:rsid w:val="00F7385B"/>
    <w:rsid w:val="00F73CDC"/>
    <w:rsid w:val="00F75237"/>
    <w:rsid w:val="00F7638B"/>
    <w:rsid w:val="00F80620"/>
    <w:rsid w:val="00F80E5C"/>
    <w:rsid w:val="00F8345C"/>
    <w:rsid w:val="00F83B0F"/>
    <w:rsid w:val="00F85CE9"/>
    <w:rsid w:val="00F85D93"/>
    <w:rsid w:val="00F8618E"/>
    <w:rsid w:val="00F86A5C"/>
    <w:rsid w:val="00F879CE"/>
    <w:rsid w:val="00F910E8"/>
    <w:rsid w:val="00F91707"/>
    <w:rsid w:val="00F936EC"/>
    <w:rsid w:val="00F93C2A"/>
    <w:rsid w:val="00F940DA"/>
    <w:rsid w:val="00F94F1C"/>
    <w:rsid w:val="00F95A37"/>
    <w:rsid w:val="00F96734"/>
    <w:rsid w:val="00F96778"/>
    <w:rsid w:val="00FA0393"/>
    <w:rsid w:val="00FA1B80"/>
    <w:rsid w:val="00FA22AC"/>
    <w:rsid w:val="00FA2509"/>
    <w:rsid w:val="00FA2F13"/>
    <w:rsid w:val="00FA3705"/>
    <w:rsid w:val="00FA40F4"/>
    <w:rsid w:val="00FB030B"/>
    <w:rsid w:val="00FB0A27"/>
    <w:rsid w:val="00FB24FA"/>
    <w:rsid w:val="00FB29F7"/>
    <w:rsid w:val="00FB325C"/>
    <w:rsid w:val="00FC0DE5"/>
    <w:rsid w:val="00FC1072"/>
    <w:rsid w:val="00FC1C97"/>
    <w:rsid w:val="00FC29C8"/>
    <w:rsid w:val="00FC33E3"/>
    <w:rsid w:val="00FC48AF"/>
    <w:rsid w:val="00FC490B"/>
    <w:rsid w:val="00FC4A7A"/>
    <w:rsid w:val="00FC54C0"/>
    <w:rsid w:val="00FC6045"/>
    <w:rsid w:val="00FC6A08"/>
    <w:rsid w:val="00FC737E"/>
    <w:rsid w:val="00FC7E62"/>
    <w:rsid w:val="00FD0DF2"/>
    <w:rsid w:val="00FD165B"/>
    <w:rsid w:val="00FD73A5"/>
    <w:rsid w:val="00FE0D9D"/>
    <w:rsid w:val="00FE3973"/>
    <w:rsid w:val="00FE45D6"/>
    <w:rsid w:val="00FE59AE"/>
    <w:rsid w:val="00FE6545"/>
    <w:rsid w:val="00FE6BB8"/>
    <w:rsid w:val="00FE7275"/>
    <w:rsid w:val="00FF019A"/>
    <w:rsid w:val="00FF1348"/>
    <w:rsid w:val="00FF142B"/>
    <w:rsid w:val="00FF1D3E"/>
    <w:rsid w:val="00FF2E2A"/>
    <w:rsid w:val="00FF3093"/>
    <w:rsid w:val="00FF39B5"/>
    <w:rsid w:val="00FF3E8A"/>
    <w:rsid w:val="00FF51F1"/>
    <w:rsid w:val="00FF63EB"/>
    <w:rsid w:val="00FF6C3C"/>
    <w:rsid w:val="00FF77F2"/>
    <w:rsid w:val="00FF7EFD"/>
  </w:rsids>
  <m:mathPr>
    <m:mathFont m:val="Cambria Math"/>
    <m:brkBin m:val="before"/>
    <m:brkBinSub m:val="--"/>
    <m:smallFrac m:val="0"/>
    <m:dispDef/>
    <m:lMargin m:val="0"/>
    <m:rMargin m:val="0"/>
    <m:defJc m:val="centerGroup"/>
    <m:wrapIndent m:val="1440"/>
    <m:intLim m:val="subSup"/>
    <m:naryLim m:val="undOvr"/>
  </m:mathPr>
  <w:themeFontLang w:val="en-GB" w:eastAsia="zh-CN" w:bidi="k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8C30A3"/>
  <w15:docId w15:val="{49D02E2E-1084-433B-827D-6C9D45380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v-FI" w:eastAsia="sv-F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37D4"/>
    <w:pPr>
      <w:spacing w:before="120" w:after="120" w:line="360" w:lineRule="auto"/>
    </w:pPr>
    <w:rPr>
      <w:rFonts w:asciiTheme="minorHAnsi" w:hAnsiTheme="minorHAnsi"/>
      <w:sz w:val="22"/>
      <w:szCs w:val="24"/>
    </w:rPr>
  </w:style>
  <w:style w:type="paragraph" w:styleId="Heading1">
    <w:name w:val="heading 1"/>
    <w:basedOn w:val="Normal"/>
    <w:next w:val="Normal"/>
    <w:link w:val="Heading1Char"/>
    <w:qFormat/>
    <w:rsid w:val="00CE0FB9"/>
    <w:pPr>
      <w:keepNext/>
      <w:spacing w:before="240" w:after="60"/>
      <w:outlineLvl w:val="0"/>
    </w:pPr>
    <w:rPr>
      <w:rFonts w:ascii="Arial" w:eastAsiaTheme="minorEastAsia" w:hAnsi="Arial" w:cs="Arial"/>
      <w:b/>
      <w:bCs/>
      <w:kern w:val="32"/>
      <w:sz w:val="32"/>
      <w:szCs w:val="32"/>
    </w:rPr>
  </w:style>
  <w:style w:type="paragraph" w:styleId="Heading2">
    <w:name w:val="heading 2"/>
    <w:basedOn w:val="Normal"/>
    <w:next w:val="Normal"/>
    <w:link w:val="Heading2Char"/>
    <w:qFormat/>
    <w:rsid w:val="00CE0FB9"/>
    <w:pPr>
      <w:keepNext/>
      <w:numPr>
        <w:ilvl w:val="1"/>
        <w:numId w:val="2"/>
      </w:numPr>
      <w:spacing w:before="240" w:after="60"/>
      <w:outlineLvl w:val="1"/>
    </w:pPr>
    <w:rPr>
      <w:rFonts w:ascii="Arial" w:eastAsiaTheme="minorEastAsia" w:hAnsi="Arial" w:cs="Arial"/>
      <w:b/>
      <w:bCs/>
      <w:i/>
      <w:iCs/>
      <w:sz w:val="28"/>
      <w:szCs w:val="28"/>
    </w:rPr>
  </w:style>
  <w:style w:type="paragraph" w:styleId="Heading3">
    <w:name w:val="heading 3"/>
    <w:basedOn w:val="Normal"/>
    <w:next w:val="Normal"/>
    <w:link w:val="Heading3Char"/>
    <w:qFormat/>
    <w:rsid w:val="00CE0FB9"/>
    <w:pPr>
      <w:keepNext/>
      <w:spacing w:before="240" w:after="60"/>
      <w:outlineLvl w:val="2"/>
    </w:pPr>
    <w:rPr>
      <w:rFonts w:ascii="Arial" w:eastAsiaTheme="minorEastAsia"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sid w:val="00CE0FB9"/>
    <w:rPr>
      <w:color w:val="0000FF"/>
      <w:u w:val="single"/>
    </w:rPr>
  </w:style>
  <w:style w:type="character" w:styleId="FollowedHyperlink">
    <w:name w:val="FollowedHyperlink"/>
    <w:basedOn w:val="DefaultParagraphFont"/>
    <w:rsid w:val="00CE0FB9"/>
    <w:rPr>
      <w:color w:val="800080" w:themeColor="followedHyperlink"/>
      <w:u w:val="single"/>
    </w:rPr>
  </w:style>
  <w:style w:type="character" w:customStyle="1" w:styleId="Heading1Char">
    <w:name w:val="Heading 1 Char"/>
    <w:basedOn w:val="DefaultParagraphFont"/>
    <w:link w:val="Heading1"/>
    <w:locked/>
    <w:rsid w:val="00CE0FB9"/>
    <w:rPr>
      <w:rFonts w:asciiTheme="majorHAnsi" w:eastAsiaTheme="majorEastAsia" w:hAnsiTheme="majorHAnsi" w:cstheme="majorBidi" w:hint="default"/>
      <w:b/>
      <w:bCs/>
      <w:color w:val="365F91" w:themeColor="accent1" w:themeShade="BF"/>
      <w:sz w:val="28"/>
      <w:szCs w:val="28"/>
    </w:rPr>
  </w:style>
  <w:style w:type="character" w:customStyle="1" w:styleId="Heading2Char">
    <w:name w:val="Heading 2 Char"/>
    <w:basedOn w:val="DefaultParagraphFont"/>
    <w:link w:val="Heading2"/>
    <w:locked/>
    <w:rsid w:val="00CE0FB9"/>
    <w:rPr>
      <w:rFonts w:asciiTheme="majorHAnsi" w:eastAsiaTheme="majorEastAsia" w:hAnsiTheme="majorHAnsi" w:cstheme="majorBidi" w:hint="default"/>
      <w:b/>
      <w:bCs/>
      <w:color w:val="4F81BD" w:themeColor="accent1"/>
      <w:sz w:val="26"/>
      <w:szCs w:val="26"/>
    </w:rPr>
  </w:style>
  <w:style w:type="character" w:customStyle="1" w:styleId="Heading3Char">
    <w:name w:val="Heading 3 Char"/>
    <w:basedOn w:val="DefaultParagraphFont"/>
    <w:link w:val="Heading3"/>
    <w:locked/>
    <w:rsid w:val="00CE0FB9"/>
    <w:rPr>
      <w:rFonts w:asciiTheme="majorHAnsi" w:eastAsiaTheme="majorEastAsia" w:hAnsiTheme="majorHAnsi" w:cstheme="majorBidi" w:hint="default"/>
      <w:b/>
      <w:bCs/>
      <w:color w:val="4F81BD" w:themeColor="accent1"/>
      <w:sz w:val="22"/>
      <w:szCs w:val="24"/>
    </w:rPr>
  </w:style>
  <w:style w:type="paragraph" w:styleId="TOC1">
    <w:name w:val="toc 1"/>
    <w:basedOn w:val="Normal"/>
    <w:next w:val="Normal"/>
    <w:autoRedefine/>
    <w:uiPriority w:val="39"/>
    <w:rsid w:val="00CE0FB9"/>
    <w:pPr>
      <w:tabs>
        <w:tab w:val="left" w:pos="284"/>
        <w:tab w:val="right" w:leader="dot" w:pos="8505"/>
      </w:tabs>
      <w:spacing w:before="240" w:line="300" w:lineRule="exact"/>
      <w:ind w:left="284" w:hanging="284"/>
    </w:pPr>
    <w:rPr>
      <w:caps/>
      <w:sz w:val="26"/>
      <w:szCs w:val="28"/>
    </w:rPr>
  </w:style>
  <w:style w:type="paragraph" w:styleId="TOC2">
    <w:name w:val="toc 2"/>
    <w:basedOn w:val="Normal"/>
    <w:next w:val="Normal"/>
    <w:autoRedefine/>
    <w:uiPriority w:val="39"/>
    <w:rsid w:val="00CE0FB9"/>
    <w:pPr>
      <w:tabs>
        <w:tab w:val="left" w:pos="851"/>
        <w:tab w:val="right" w:leader="dot" w:pos="8505"/>
      </w:tabs>
      <w:spacing w:line="260" w:lineRule="exact"/>
      <w:ind w:left="851" w:hanging="567"/>
    </w:pPr>
  </w:style>
  <w:style w:type="paragraph" w:styleId="TOC3">
    <w:name w:val="toc 3"/>
    <w:basedOn w:val="Normal"/>
    <w:next w:val="Normal"/>
    <w:autoRedefine/>
    <w:semiHidden/>
    <w:rsid w:val="00CE0FB9"/>
    <w:pPr>
      <w:tabs>
        <w:tab w:val="left" w:pos="1304"/>
        <w:tab w:val="left" w:pos="2495"/>
        <w:tab w:val="right" w:leader="dot" w:pos="8505"/>
      </w:tabs>
      <w:spacing w:line="260" w:lineRule="exact"/>
      <w:ind w:left="1588" w:hanging="737"/>
    </w:pPr>
  </w:style>
  <w:style w:type="paragraph" w:styleId="TOC4">
    <w:name w:val="toc 4"/>
    <w:basedOn w:val="Normal"/>
    <w:next w:val="Normal"/>
    <w:autoRedefine/>
    <w:semiHidden/>
    <w:rsid w:val="00CE0FB9"/>
    <w:pPr>
      <w:tabs>
        <w:tab w:val="left" w:pos="2495"/>
        <w:tab w:val="right" w:leader="dot" w:pos="8505"/>
      </w:tabs>
      <w:spacing w:line="260" w:lineRule="exact"/>
      <w:ind w:left="2495" w:hanging="907"/>
    </w:pPr>
  </w:style>
  <w:style w:type="paragraph" w:styleId="TOC5">
    <w:name w:val="toc 5"/>
    <w:basedOn w:val="Normal"/>
    <w:next w:val="Normal"/>
    <w:autoRedefine/>
    <w:semiHidden/>
    <w:rsid w:val="00CE0FB9"/>
    <w:pPr>
      <w:spacing w:after="360"/>
      <w:ind w:right="284"/>
    </w:pPr>
  </w:style>
  <w:style w:type="paragraph" w:styleId="FootnoteText">
    <w:name w:val="footnote text"/>
    <w:basedOn w:val="Normal"/>
    <w:link w:val="FootnoteTextChar"/>
    <w:semiHidden/>
    <w:rsid w:val="00A64774"/>
    <w:pPr>
      <w:spacing w:before="0" w:after="0" w:line="240" w:lineRule="auto"/>
      <w:jc w:val="both"/>
    </w:pPr>
    <w:rPr>
      <w:sz w:val="18"/>
      <w:szCs w:val="20"/>
    </w:rPr>
  </w:style>
  <w:style w:type="character" w:customStyle="1" w:styleId="FootnoteTextChar">
    <w:name w:val="Footnote Text Char"/>
    <w:basedOn w:val="DefaultParagraphFont"/>
    <w:link w:val="FootnoteText"/>
    <w:semiHidden/>
    <w:locked/>
    <w:rsid w:val="00A64774"/>
    <w:rPr>
      <w:rFonts w:asciiTheme="minorHAnsi" w:hAnsiTheme="minorHAnsi"/>
      <w:sz w:val="18"/>
    </w:rPr>
  </w:style>
  <w:style w:type="paragraph" w:styleId="Header">
    <w:name w:val="header"/>
    <w:basedOn w:val="Normal"/>
    <w:link w:val="HeaderChar"/>
    <w:uiPriority w:val="99"/>
    <w:rsid w:val="00CE0FB9"/>
    <w:pPr>
      <w:tabs>
        <w:tab w:val="center" w:pos="4819"/>
        <w:tab w:val="right" w:pos="9638"/>
      </w:tabs>
    </w:pPr>
  </w:style>
  <w:style w:type="character" w:customStyle="1" w:styleId="HeaderChar">
    <w:name w:val="Header Char"/>
    <w:basedOn w:val="DefaultParagraphFont"/>
    <w:link w:val="Header"/>
    <w:uiPriority w:val="99"/>
    <w:locked/>
    <w:rsid w:val="00CE0FB9"/>
    <w:rPr>
      <w:rFonts w:ascii="Georgia" w:hAnsi="Georgia" w:hint="default"/>
      <w:sz w:val="22"/>
      <w:szCs w:val="24"/>
    </w:rPr>
  </w:style>
  <w:style w:type="paragraph" w:styleId="Footer">
    <w:name w:val="footer"/>
    <w:basedOn w:val="Normal"/>
    <w:link w:val="FooterChar"/>
    <w:semiHidden/>
    <w:rsid w:val="00CE0FB9"/>
    <w:pPr>
      <w:tabs>
        <w:tab w:val="center" w:pos="4819"/>
        <w:tab w:val="right" w:pos="9638"/>
      </w:tabs>
    </w:pPr>
  </w:style>
  <w:style w:type="character" w:customStyle="1" w:styleId="FooterChar">
    <w:name w:val="Footer Char"/>
    <w:basedOn w:val="DefaultParagraphFont"/>
    <w:link w:val="Footer"/>
    <w:locked/>
    <w:rsid w:val="00CE0FB9"/>
    <w:rPr>
      <w:rFonts w:ascii="Georgia" w:hAnsi="Georgia" w:hint="default"/>
      <w:sz w:val="22"/>
      <w:szCs w:val="24"/>
    </w:rPr>
  </w:style>
  <w:style w:type="paragraph" w:customStyle="1" w:styleId="HBodyText">
    <w:name w:val="H_Body_Text"/>
    <w:rsid w:val="00A753B2"/>
    <w:pPr>
      <w:spacing w:after="240" w:line="360" w:lineRule="auto"/>
      <w:jc w:val="both"/>
    </w:pPr>
    <w:rPr>
      <w:rFonts w:asciiTheme="minorHAnsi" w:hAnsiTheme="minorHAnsi"/>
      <w:sz w:val="22"/>
      <w:szCs w:val="24"/>
    </w:rPr>
  </w:style>
  <w:style w:type="paragraph" w:styleId="TableofFigures">
    <w:name w:val="table of figures"/>
    <w:basedOn w:val="Normal"/>
    <w:next w:val="HBodyText"/>
    <w:uiPriority w:val="99"/>
    <w:rsid w:val="00CE0FB9"/>
    <w:pPr>
      <w:tabs>
        <w:tab w:val="left" w:pos="1021"/>
        <w:tab w:val="right" w:leader="dot" w:pos="8505"/>
      </w:tabs>
      <w:spacing w:after="360" w:line="260" w:lineRule="exact"/>
      <w:ind w:left="1021" w:right="284" w:hanging="1021"/>
    </w:pPr>
  </w:style>
  <w:style w:type="paragraph" w:styleId="EndnoteText">
    <w:name w:val="endnote text"/>
    <w:basedOn w:val="Normal"/>
    <w:link w:val="EndnoteTextChar"/>
    <w:semiHidden/>
    <w:rsid w:val="00CE0FB9"/>
  </w:style>
  <w:style w:type="character" w:customStyle="1" w:styleId="EndnoteTextChar">
    <w:name w:val="Endnote Text Char"/>
    <w:basedOn w:val="DefaultParagraphFont"/>
    <w:link w:val="EndnoteText"/>
    <w:locked/>
    <w:rsid w:val="00CE0FB9"/>
    <w:rPr>
      <w:rFonts w:ascii="Georgia" w:hAnsi="Georgia" w:hint="default"/>
    </w:rPr>
  </w:style>
  <w:style w:type="paragraph" w:styleId="Title">
    <w:name w:val="Title"/>
    <w:basedOn w:val="Normal"/>
    <w:link w:val="TitleChar"/>
    <w:qFormat/>
    <w:rsid w:val="00CE0FB9"/>
    <w:pPr>
      <w:spacing w:line="240" w:lineRule="auto"/>
      <w:jc w:val="center"/>
    </w:pPr>
    <w:rPr>
      <w:sz w:val="30"/>
    </w:rPr>
  </w:style>
  <w:style w:type="character" w:customStyle="1" w:styleId="TitleChar">
    <w:name w:val="Title Char"/>
    <w:basedOn w:val="DefaultParagraphFont"/>
    <w:link w:val="Title"/>
    <w:locked/>
    <w:rsid w:val="00CE0FB9"/>
    <w:rPr>
      <w:rFonts w:asciiTheme="majorHAnsi" w:eastAsiaTheme="majorEastAsia" w:hAnsiTheme="majorHAnsi" w:cstheme="majorBidi" w:hint="default"/>
      <w:color w:val="17365D" w:themeColor="text2" w:themeShade="BF"/>
      <w:spacing w:val="5"/>
      <w:kern w:val="28"/>
      <w:sz w:val="52"/>
      <w:szCs w:val="52"/>
    </w:rPr>
  </w:style>
  <w:style w:type="paragraph" w:customStyle="1" w:styleId="HHeadNoNr">
    <w:name w:val="H_Head_NoNr"/>
    <w:next w:val="HBodyText"/>
    <w:semiHidden/>
    <w:rsid w:val="00CE0FB9"/>
    <w:pPr>
      <w:spacing w:after="480"/>
    </w:pPr>
    <w:rPr>
      <w:rFonts w:ascii="Georgia" w:hAnsi="Georgia"/>
      <w:caps/>
      <w:sz w:val="30"/>
      <w:szCs w:val="32"/>
    </w:rPr>
  </w:style>
  <w:style w:type="paragraph" w:customStyle="1" w:styleId="HHead2">
    <w:name w:val="H_Head2"/>
    <w:next w:val="HBodyText"/>
    <w:rsid w:val="00CE0FB9"/>
    <w:pPr>
      <w:keepNext/>
      <w:numPr>
        <w:ilvl w:val="1"/>
        <w:numId w:val="4"/>
      </w:numPr>
      <w:tabs>
        <w:tab w:val="left" w:pos="624"/>
      </w:tabs>
      <w:spacing w:before="480" w:after="240" w:line="280" w:lineRule="exact"/>
      <w:ind w:left="624" w:hanging="624"/>
    </w:pPr>
    <w:rPr>
      <w:rFonts w:ascii="Georgia" w:hAnsi="Georgia"/>
      <w:b/>
      <w:sz w:val="22"/>
      <w:szCs w:val="24"/>
    </w:rPr>
  </w:style>
  <w:style w:type="paragraph" w:customStyle="1" w:styleId="HHead3">
    <w:name w:val="H_Head3"/>
    <w:next w:val="HBodyText"/>
    <w:autoRedefine/>
    <w:rsid w:val="00CE0FB9"/>
    <w:pPr>
      <w:keepNext/>
      <w:numPr>
        <w:ilvl w:val="2"/>
        <w:numId w:val="4"/>
      </w:numPr>
      <w:tabs>
        <w:tab w:val="left" w:pos="794"/>
      </w:tabs>
      <w:spacing w:before="480" w:after="240" w:line="280" w:lineRule="exact"/>
      <w:ind w:left="794" w:hanging="794"/>
    </w:pPr>
    <w:rPr>
      <w:rFonts w:ascii="Georgia" w:hAnsi="Georgia"/>
      <w:b/>
      <w:i/>
      <w:sz w:val="22"/>
      <w:szCs w:val="24"/>
    </w:rPr>
  </w:style>
  <w:style w:type="paragraph" w:customStyle="1" w:styleId="HHead4">
    <w:name w:val="H_Head4"/>
    <w:next w:val="HBodyText"/>
    <w:rsid w:val="00CE0FB9"/>
    <w:pPr>
      <w:keepNext/>
      <w:numPr>
        <w:ilvl w:val="3"/>
        <w:numId w:val="4"/>
      </w:numPr>
      <w:tabs>
        <w:tab w:val="left" w:pos="907"/>
      </w:tabs>
      <w:spacing w:before="480" w:after="240" w:line="280" w:lineRule="exact"/>
      <w:ind w:left="907" w:hanging="907"/>
    </w:pPr>
    <w:rPr>
      <w:rFonts w:ascii="Georgia" w:hAnsi="Georgia"/>
      <w:i/>
      <w:sz w:val="22"/>
      <w:szCs w:val="24"/>
    </w:rPr>
  </w:style>
  <w:style w:type="paragraph" w:customStyle="1" w:styleId="HHead1">
    <w:name w:val="H_Head1"/>
    <w:next w:val="HBodyText"/>
    <w:rsid w:val="00281E1B"/>
    <w:pPr>
      <w:keepNext/>
      <w:widowControl w:val="0"/>
      <w:numPr>
        <w:numId w:val="4"/>
      </w:numPr>
      <w:tabs>
        <w:tab w:val="left" w:pos="1985"/>
      </w:tabs>
      <w:spacing w:after="480" w:line="320" w:lineRule="exact"/>
    </w:pPr>
    <w:rPr>
      <w:rFonts w:ascii="Georgia" w:hAnsi="Georgia"/>
      <w:b/>
      <w:caps/>
      <w:sz w:val="26"/>
      <w:szCs w:val="28"/>
    </w:rPr>
  </w:style>
  <w:style w:type="paragraph" w:customStyle="1" w:styleId="HCitation">
    <w:name w:val="H_Citation"/>
    <w:rsid w:val="00CE0FB9"/>
    <w:pPr>
      <w:spacing w:after="240"/>
      <w:ind w:left="794"/>
      <w:jc w:val="both"/>
    </w:pPr>
    <w:rPr>
      <w:rFonts w:ascii="Georgia" w:hAnsi="Georgia"/>
      <w:sz w:val="18"/>
    </w:rPr>
  </w:style>
  <w:style w:type="paragraph" w:customStyle="1" w:styleId="HTable">
    <w:name w:val="H_Table"/>
    <w:next w:val="HBodyText"/>
    <w:rsid w:val="001F4A2C"/>
    <w:pPr>
      <w:numPr>
        <w:numId w:val="6"/>
      </w:numPr>
      <w:tabs>
        <w:tab w:val="left" w:pos="907"/>
      </w:tabs>
      <w:spacing w:after="240"/>
      <w:ind w:left="907" w:hanging="907"/>
    </w:pPr>
    <w:rPr>
      <w:rFonts w:ascii="Georgia" w:hAnsi="Georgia"/>
      <w:b/>
      <w:sz w:val="18"/>
    </w:rPr>
  </w:style>
  <w:style w:type="paragraph" w:customStyle="1" w:styleId="HHeada">
    <w:name w:val="H_Head_a"/>
    <w:next w:val="HBodyText"/>
    <w:semiHidden/>
    <w:rsid w:val="00CE0FB9"/>
    <w:rPr>
      <w:b/>
      <w:caps/>
      <w:sz w:val="24"/>
      <w:szCs w:val="24"/>
    </w:rPr>
  </w:style>
  <w:style w:type="paragraph" w:customStyle="1" w:styleId="H1a">
    <w:name w:val="H_1a"/>
    <w:semiHidden/>
    <w:rsid w:val="00CE0FB9"/>
    <w:pPr>
      <w:spacing w:line="300" w:lineRule="exact"/>
      <w:jc w:val="center"/>
    </w:pPr>
    <w:rPr>
      <w:rFonts w:ascii="Georgia" w:hAnsi="Georgia"/>
      <w:sz w:val="28"/>
      <w:szCs w:val="30"/>
    </w:rPr>
  </w:style>
  <w:style w:type="paragraph" w:customStyle="1" w:styleId="H1b">
    <w:name w:val="H_1b"/>
    <w:semiHidden/>
    <w:rsid w:val="00CE0FB9"/>
    <w:pPr>
      <w:spacing w:line="280" w:lineRule="exact"/>
      <w:jc w:val="center"/>
    </w:pPr>
    <w:rPr>
      <w:rFonts w:ascii="Georgia" w:hAnsi="Georgia"/>
      <w:sz w:val="24"/>
      <w:szCs w:val="26"/>
    </w:rPr>
  </w:style>
  <w:style w:type="paragraph" w:customStyle="1" w:styleId="H1c">
    <w:name w:val="H_1c"/>
    <w:semiHidden/>
    <w:rsid w:val="00CE0FB9"/>
    <w:pPr>
      <w:spacing w:line="320" w:lineRule="exact"/>
      <w:jc w:val="center"/>
    </w:pPr>
    <w:rPr>
      <w:rFonts w:ascii="Georgia" w:hAnsi="Georgia"/>
      <w:noProof/>
      <w:sz w:val="30"/>
      <w:szCs w:val="32"/>
    </w:rPr>
  </w:style>
  <w:style w:type="paragraph" w:customStyle="1" w:styleId="H1d">
    <w:name w:val="H_1d"/>
    <w:semiHidden/>
    <w:rsid w:val="00CE0FB9"/>
    <w:pPr>
      <w:spacing w:line="340" w:lineRule="exact"/>
      <w:jc w:val="center"/>
    </w:pPr>
    <w:rPr>
      <w:rFonts w:ascii="Georgia" w:hAnsi="Georgia"/>
      <w:noProof/>
      <w:sz w:val="32"/>
      <w:szCs w:val="34"/>
    </w:rPr>
  </w:style>
  <w:style w:type="paragraph" w:customStyle="1" w:styleId="H1e">
    <w:name w:val="H_1e"/>
    <w:semiHidden/>
    <w:rsid w:val="00CE0FB9"/>
    <w:pPr>
      <w:spacing w:after="280" w:line="420" w:lineRule="exact"/>
      <w:jc w:val="center"/>
    </w:pPr>
    <w:rPr>
      <w:rFonts w:ascii="Georgia" w:hAnsi="Georgia"/>
      <w:noProof/>
      <w:sz w:val="38"/>
      <w:szCs w:val="40"/>
    </w:rPr>
  </w:style>
  <w:style w:type="paragraph" w:customStyle="1" w:styleId="H1f">
    <w:name w:val="H_1f"/>
    <w:semiHidden/>
    <w:rsid w:val="00CE0FB9"/>
    <w:pPr>
      <w:spacing w:line="340" w:lineRule="exact"/>
      <w:jc w:val="center"/>
    </w:pPr>
    <w:rPr>
      <w:rFonts w:ascii="Georgia" w:hAnsi="Georgia"/>
      <w:noProof/>
      <w:sz w:val="24"/>
      <w:szCs w:val="26"/>
    </w:rPr>
  </w:style>
  <w:style w:type="paragraph" w:customStyle="1" w:styleId="H2a">
    <w:name w:val="H_2a"/>
    <w:semiHidden/>
    <w:rsid w:val="00CE0FB9"/>
    <w:pPr>
      <w:spacing w:line="280" w:lineRule="exact"/>
    </w:pPr>
    <w:rPr>
      <w:rFonts w:ascii="Georgia" w:hAnsi="Georgia"/>
      <w:sz w:val="24"/>
      <w:szCs w:val="26"/>
    </w:rPr>
  </w:style>
  <w:style w:type="paragraph" w:customStyle="1" w:styleId="H2b">
    <w:name w:val="H_2b"/>
    <w:semiHidden/>
    <w:rsid w:val="00CE0FB9"/>
    <w:pPr>
      <w:spacing w:line="260" w:lineRule="exact"/>
    </w:pPr>
    <w:rPr>
      <w:rFonts w:ascii="Georgia" w:hAnsi="Georgia"/>
      <w:sz w:val="22"/>
      <w:szCs w:val="24"/>
    </w:rPr>
  </w:style>
  <w:style w:type="paragraph" w:customStyle="1" w:styleId="H2c">
    <w:name w:val="H_2c"/>
    <w:semiHidden/>
    <w:rsid w:val="00CE0FB9"/>
    <w:pPr>
      <w:spacing w:line="260" w:lineRule="exact"/>
      <w:ind w:left="2722"/>
    </w:pPr>
    <w:rPr>
      <w:rFonts w:ascii="Georgia" w:hAnsi="Georgia"/>
      <w:sz w:val="22"/>
      <w:szCs w:val="24"/>
    </w:rPr>
  </w:style>
  <w:style w:type="paragraph" w:customStyle="1" w:styleId="H2d">
    <w:name w:val="H_2d"/>
    <w:semiHidden/>
    <w:rsid w:val="00CE0FB9"/>
    <w:pPr>
      <w:spacing w:before="280" w:line="240" w:lineRule="exact"/>
      <w:jc w:val="center"/>
    </w:pPr>
    <w:rPr>
      <w:sz w:val="22"/>
      <w:szCs w:val="22"/>
    </w:rPr>
  </w:style>
  <w:style w:type="paragraph" w:customStyle="1" w:styleId="HSisluAlku">
    <w:name w:val="H_Sislu_Alku"/>
    <w:semiHidden/>
    <w:rsid w:val="00CE0FB9"/>
    <w:pPr>
      <w:tabs>
        <w:tab w:val="right" w:leader="dot" w:pos="8505"/>
      </w:tabs>
      <w:spacing w:before="240" w:after="120" w:line="240" w:lineRule="exact"/>
    </w:pPr>
    <w:rPr>
      <w:caps/>
      <w:sz w:val="28"/>
      <w:szCs w:val="28"/>
    </w:rPr>
  </w:style>
  <w:style w:type="paragraph" w:customStyle="1" w:styleId="TyyliH2bRivivli1">
    <w:name w:val="Tyyli H_2b + Riviväli:  1"/>
    <w:basedOn w:val="H2b"/>
    <w:semiHidden/>
    <w:rsid w:val="00CE0FB9"/>
    <w:pPr>
      <w:spacing w:line="240" w:lineRule="auto"/>
    </w:pPr>
    <w:rPr>
      <w:sz w:val="24"/>
    </w:rPr>
  </w:style>
  <w:style w:type="paragraph" w:customStyle="1" w:styleId="HHeadLists">
    <w:name w:val="H_Head_Lists"/>
    <w:rsid w:val="00CE0FB9"/>
    <w:pPr>
      <w:spacing w:after="240"/>
    </w:pPr>
    <w:rPr>
      <w:rFonts w:ascii="Georgia" w:hAnsi="Georgia"/>
      <w:caps/>
      <w:sz w:val="26"/>
      <w:szCs w:val="28"/>
    </w:rPr>
  </w:style>
  <w:style w:type="paragraph" w:customStyle="1" w:styleId="HFigurNextParag">
    <w:name w:val="H_Figur_NextParag"/>
    <w:next w:val="HBodyText"/>
    <w:semiHidden/>
    <w:rsid w:val="0096033D"/>
    <w:pPr>
      <w:spacing w:before="240" w:after="240"/>
      <w:jc w:val="both"/>
    </w:pPr>
  </w:style>
  <w:style w:type="paragraph" w:customStyle="1" w:styleId="HFigur">
    <w:name w:val="H_Figur"/>
    <w:next w:val="HFigurNextParag"/>
    <w:rsid w:val="00CE0FB9"/>
    <w:pPr>
      <w:numPr>
        <w:numId w:val="8"/>
      </w:numPr>
      <w:spacing w:after="240"/>
      <w:ind w:left="907" w:hanging="907"/>
    </w:pPr>
    <w:rPr>
      <w:rFonts w:ascii="Georgia" w:hAnsi="Georgia"/>
      <w:b/>
      <w:sz w:val="18"/>
    </w:rPr>
  </w:style>
  <w:style w:type="paragraph" w:customStyle="1" w:styleId="HAppendixHead">
    <w:name w:val="H_Appendix_Head"/>
    <w:next w:val="HBodyText"/>
    <w:rsid w:val="00CE0FB9"/>
    <w:pPr>
      <w:spacing w:before="240" w:after="240"/>
    </w:pPr>
    <w:rPr>
      <w:rFonts w:ascii="Georgia" w:hAnsi="Georgia"/>
      <w:b/>
      <w:sz w:val="22"/>
      <w:szCs w:val="24"/>
    </w:rPr>
  </w:style>
  <w:style w:type="paragraph" w:customStyle="1" w:styleId="HAppendix">
    <w:name w:val="H_Appendix"/>
    <w:next w:val="HAppendixHead"/>
    <w:rsid w:val="00CE0FB9"/>
    <w:pPr>
      <w:pageBreakBefore/>
      <w:numPr>
        <w:numId w:val="10"/>
      </w:numPr>
      <w:spacing w:after="360"/>
    </w:pPr>
    <w:rPr>
      <w:rFonts w:ascii="Georgia" w:hAnsi="Georgia"/>
      <w:b/>
      <w:caps/>
      <w:sz w:val="22"/>
      <w:szCs w:val="24"/>
    </w:rPr>
  </w:style>
  <w:style w:type="paragraph" w:customStyle="1" w:styleId="HRefBody">
    <w:name w:val="H_Ref_Body"/>
    <w:rsid w:val="00253BDC"/>
    <w:pPr>
      <w:spacing w:after="120"/>
      <w:ind w:left="680" w:hanging="680"/>
    </w:pPr>
    <w:rPr>
      <w:rFonts w:asciiTheme="minorHAnsi" w:hAnsiTheme="minorHAnsi"/>
      <w:sz w:val="22"/>
      <w:szCs w:val="24"/>
    </w:rPr>
  </w:style>
  <w:style w:type="paragraph" w:customStyle="1" w:styleId="HHeadRef">
    <w:name w:val="H_Head_Ref"/>
    <w:next w:val="HRefBody"/>
    <w:rsid w:val="00CE0FB9"/>
    <w:pPr>
      <w:pageBreakBefore/>
      <w:spacing w:after="480"/>
    </w:pPr>
    <w:rPr>
      <w:rFonts w:ascii="Georgia" w:hAnsi="Georgia"/>
      <w:b/>
      <w:caps/>
      <w:sz w:val="22"/>
      <w:szCs w:val="24"/>
    </w:rPr>
  </w:style>
  <w:style w:type="paragraph" w:customStyle="1" w:styleId="HHeadListRef">
    <w:name w:val="H_Head_List_Ref"/>
    <w:next w:val="HBodyText"/>
    <w:semiHidden/>
    <w:rsid w:val="00CE0FB9"/>
    <w:pPr>
      <w:tabs>
        <w:tab w:val="right" w:leader="dot" w:pos="8505"/>
      </w:tabs>
      <w:spacing w:after="240"/>
    </w:pPr>
    <w:rPr>
      <w:b/>
      <w:caps/>
      <w:sz w:val="24"/>
      <w:szCs w:val="24"/>
    </w:rPr>
  </w:style>
  <w:style w:type="paragraph" w:customStyle="1" w:styleId="HBodyTextListNr">
    <w:name w:val="H_Body_TextList_Nr"/>
    <w:rsid w:val="00CE0FB9"/>
    <w:pPr>
      <w:numPr>
        <w:numId w:val="12"/>
      </w:numPr>
      <w:spacing w:after="240"/>
    </w:pPr>
    <w:rPr>
      <w:rFonts w:ascii="Georgia" w:hAnsi="Georgia"/>
      <w:sz w:val="22"/>
      <w:szCs w:val="24"/>
    </w:rPr>
  </w:style>
  <w:style w:type="paragraph" w:customStyle="1" w:styleId="HBodyTextList">
    <w:name w:val="H_Body_TextList_•"/>
    <w:rsid w:val="00CE0FB9"/>
    <w:pPr>
      <w:numPr>
        <w:numId w:val="14"/>
      </w:numPr>
      <w:tabs>
        <w:tab w:val="left" w:pos="567"/>
      </w:tabs>
      <w:spacing w:after="240"/>
      <w:ind w:left="907" w:hanging="340"/>
    </w:pPr>
    <w:rPr>
      <w:rFonts w:ascii="Georgia" w:hAnsi="Georgia"/>
      <w:sz w:val="22"/>
      <w:szCs w:val="24"/>
    </w:rPr>
  </w:style>
  <w:style w:type="paragraph" w:customStyle="1" w:styleId="TyyliH2dEnnen18ptRivivli1">
    <w:name w:val="Tyyli H_2d + Ennen:  18 pt Riviväli:  1"/>
    <w:basedOn w:val="H2d"/>
    <w:rsid w:val="00CE0FB9"/>
    <w:pPr>
      <w:spacing w:before="360" w:line="240" w:lineRule="auto"/>
    </w:pPr>
    <w:rPr>
      <w:rFonts w:ascii="Georgia" w:hAnsi="Georgia"/>
      <w:sz w:val="20"/>
      <w:szCs w:val="20"/>
    </w:rPr>
  </w:style>
  <w:style w:type="paragraph" w:customStyle="1" w:styleId="TyyliH2a">
    <w:name w:val="Tyyli H_2a +"/>
    <w:basedOn w:val="H2a"/>
    <w:semiHidden/>
    <w:rsid w:val="00CE0FB9"/>
    <w:rPr>
      <w:sz w:val="26"/>
    </w:rPr>
  </w:style>
  <w:style w:type="character" w:styleId="FootnoteReference">
    <w:name w:val="footnote reference"/>
    <w:basedOn w:val="DefaultParagraphFont"/>
    <w:semiHidden/>
    <w:rsid w:val="00CE0FB9"/>
    <w:rPr>
      <w:vertAlign w:val="superscript"/>
    </w:rPr>
  </w:style>
  <w:style w:type="character" w:styleId="EndnoteReference">
    <w:name w:val="endnote reference"/>
    <w:basedOn w:val="DefaultParagraphFont"/>
    <w:semiHidden/>
    <w:rsid w:val="00CE0FB9"/>
    <w:rPr>
      <w:vertAlign w:val="superscript"/>
    </w:rPr>
  </w:style>
  <w:style w:type="table" w:styleId="TableGrid">
    <w:name w:val="Table Grid"/>
    <w:basedOn w:val="TableNormal"/>
    <w:semiHidden/>
    <w:rsid w:val="00CE0FB9"/>
    <w:pPr>
      <w:spacing w:line="24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unhideWhenUsed/>
    <w:rsid w:val="00CE0FB9"/>
  </w:style>
  <w:style w:type="character" w:styleId="PlaceholderText">
    <w:name w:val="Placeholder Text"/>
    <w:basedOn w:val="DefaultParagraphFont"/>
    <w:uiPriority w:val="99"/>
    <w:semiHidden/>
    <w:rsid w:val="002A1AE2"/>
    <w:rPr>
      <w:color w:val="808080"/>
    </w:rPr>
  </w:style>
  <w:style w:type="paragraph" w:styleId="BalloonText">
    <w:name w:val="Balloon Text"/>
    <w:basedOn w:val="Normal"/>
    <w:link w:val="BalloonTextChar"/>
    <w:rsid w:val="002A1AE2"/>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rsid w:val="002A1AE2"/>
    <w:rPr>
      <w:rFonts w:ascii="Tahoma" w:hAnsi="Tahoma" w:cs="Tahoma"/>
      <w:sz w:val="16"/>
      <w:szCs w:val="16"/>
    </w:rPr>
  </w:style>
  <w:style w:type="paragraph" w:styleId="ListParagraph">
    <w:name w:val="List Paragraph"/>
    <w:basedOn w:val="Normal"/>
    <w:uiPriority w:val="34"/>
    <w:qFormat/>
    <w:rsid w:val="001F4A2C"/>
    <w:pPr>
      <w:ind w:left="720"/>
      <w:contextualSpacing/>
    </w:pPr>
  </w:style>
  <w:style w:type="paragraph" w:styleId="Caption">
    <w:name w:val="caption"/>
    <w:basedOn w:val="Normal"/>
    <w:next w:val="Normal"/>
    <w:unhideWhenUsed/>
    <w:qFormat/>
    <w:rsid w:val="001F4A2C"/>
    <w:pPr>
      <w:spacing w:before="0" w:after="200" w:line="240" w:lineRule="auto"/>
    </w:pPr>
    <w:rPr>
      <w:b/>
      <w:bCs/>
      <w:color w:val="4F81BD" w:themeColor="accent1"/>
      <w:sz w:val="18"/>
      <w:szCs w:val="18"/>
    </w:rPr>
  </w:style>
  <w:style w:type="paragraph" w:customStyle="1" w:styleId="Sample">
    <w:name w:val="Sample"/>
    <w:basedOn w:val="HBodyText"/>
    <w:qFormat/>
    <w:rsid w:val="00C817CD"/>
    <w:rPr>
      <w:lang w:val="en-US"/>
    </w:rPr>
  </w:style>
  <w:style w:type="character" w:styleId="Emphasis">
    <w:name w:val="Emphasis"/>
    <w:basedOn w:val="DefaultParagraphFont"/>
    <w:uiPriority w:val="20"/>
    <w:qFormat/>
    <w:rsid w:val="00513F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58271">
      <w:bodyDiv w:val="1"/>
      <w:marLeft w:val="0"/>
      <w:marRight w:val="0"/>
      <w:marTop w:val="0"/>
      <w:marBottom w:val="0"/>
      <w:divBdr>
        <w:top w:val="none" w:sz="0" w:space="0" w:color="auto"/>
        <w:left w:val="none" w:sz="0" w:space="0" w:color="auto"/>
        <w:bottom w:val="none" w:sz="0" w:space="0" w:color="auto"/>
        <w:right w:val="none" w:sz="0" w:space="0" w:color="auto"/>
      </w:divBdr>
    </w:div>
    <w:div w:id="67727753">
      <w:bodyDiv w:val="1"/>
      <w:marLeft w:val="0"/>
      <w:marRight w:val="0"/>
      <w:marTop w:val="0"/>
      <w:marBottom w:val="0"/>
      <w:divBdr>
        <w:top w:val="none" w:sz="0" w:space="0" w:color="auto"/>
        <w:left w:val="none" w:sz="0" w:space="0" w:color="auto"/>
        <w:bottom w:val="none" w:sz="0" w:space="0" w:color="auto"/>
        <w:right w:val="none" w:sz="0" w:space="0" w:color="auto"/>
      </w:divBdr>
    </w:div>
    <w:div w:id="93600744">
      <w:bodyDiv w:val="1"/>
      <w:marLeft w:val="0"/>
      <w:marRight w:val="0"/>
      <w:marTop w:val="0"/>
      <w:marBottom w:val="0"/>
      <w:divBdr>
        <w:top w:val="none" w:sz="0" w:space="0" w:color="auto"/>
        <w:left w:val="none" w:sz="0" w:space="0" w:color="auto"/>
        <w:bottom w:val="none" w:sz="0" w:space="0" w:color="auto"/>
        <w:right w:val="none" w:sz="0" w:space="0" w:color="auto"/>
      </w:divBdr>
    </w:div>
    <w:div w:id="99837092">
      <w:bodyDiv w:val="1"/>
      <w:marLeft w:val="0"/>
      <w:marRight w:val="0"/>
      <w:marTop w:val="0"/>
      <w:marBottom w:val="0"/>
      <w:divBdr>
        <w:top w:val="none" w:sz="0" w:space="0" w:color="auto"/>
        <w:left w:val="none" w:sz="0" w:space="0" w:color="auto"/>
        <w:bottom w:val="none" w:sz="0" w:space="0" w:color="auto"/>
        <w:right w:val="none" w:sz="0" w:space="0" w:color="auto"/>
      </w:divBdr>
      <w:divsChild>
        <w:div w:id="1066882585">
          <w:marLeft w:val="0"/>
          <w:marRight w:val="0"/>
          <w:marTop w:val="0"/>
          <w:marBottom w:val="0"/>
          <w:divBdr>
            <w:top w:val="none" w:sz="0" w:space="0" w:color="auto"/>
            <w:left w:val="none" w:sz="0" w:space="0" w:color="auto"/>
            <w:bottom w:val="none" w:sz="0" w:space="0" w:color="auto"/>
            <w:right w:val="none" w:sz="0" w:space="0" w:color="auto"/>
          </w:divBdr>
        </w:div>
        <w:div w:id="330333644">
          <w:marLeft w:val="0"/>
          <w:marRight w:val="0"/>
          <w:marTop w:val="0"/>
          <w:marBottom w:val="0"/>
          <w:divBdr>
            <w:top w:val="none" w:sz="0" w:space="0" w:color="auto"/>
            <w:left w:val="none" w:sz="0" w:space="0" w:color="auto"/>
            <w:bottom w:val="none" w:sz="0" w:space="0" w:color="auto"/>
            <w:right w:val="none" w:sz="0" w:space="0" w:color="auto"/>
          </w:divBdr>
        </w:div>
        <w:div w:id="802508059">
          <w:marLeft w:val="0"/>
          <w:marRight w:val="0"/>
          <w:marTop w:val="0"/>
          <w:marBottom w:val="0"/>
          <w:divBdr>
            <w:top w:val="none" w:sz="0" w:space="0" w:color="auto"/>
            <w:left w:val="none" w:sz="0" w:space="0" w:color="auto"/>
            <w:bottom w:val="none" w:sz="0" w:space="0" w:color="auto"/>
            <w:right w:val="none" w:sz="0" w:space="0" w:color="auto"/>
          </w:divBdr>
        </w:div>
        <w:div w:id="484126192">
          <w:marLeft w:val="0"/>
          <w:marRight w:val="0"/>
          <w:marTop w:val="0"/>
          <w:marBottom w:val="0"/>
          <w:divBdr>
            <w:top w:val="none" w:sz="0" w:space="0" w:color="auto"/>
            <w:left w:val="none" w:sz="0" w:space="0" w:color="auto"/>
            <w:bottom w:val="none" w:sz="0" w:space="0" w:color="auto"/>
            <w:right w:val="none" w:sz="0" w:space="0" w:color="auto"/>
          </w:divBdr>
        </w:div>
        <w:div w:id="1521549400">
          <w:marLeft w:val="0"/>
          <w:marRight w:val="0"/>
          <w:marTop w:val="0"/>
          <w:marBottom w:val="0"/>
          <w:divBdr>
            <w:top w:val="none" w:sz="0" w:space="0" w:color="auto"/>
            <w:left w:val="none" w:sz="0" w:space="0" w:color="auto"/>
            <w:bottom w:val="none" w:sz="0" w:space="0" w:color="auto"/>
            <w:right w:val="none" w:sz="0" w:space="0" w:color="auto"/>
          </w:divBdr>
        </w:div>
        <w:div w:id="795106777">
          <w:marLeft w:val="0"/>
          <w:marRight w:val="0"/>
          <w:marTop w:val="0"/>
          <w:marBottom w:val="0"/>
          <w:divBdr>
            <w:top w:val="none" w:sz="0" w:space="0" w:color="auto"/>
            <w:left w:val="none" w:sz="0" w:space="0" w:color="auto"/>
            <w:bottom w:val="none" w:sz="0" w:space="0" w:color="auto"/>
            <w:right w:val="none" w:sz="0" w:space="0" w:color="auto"/>
          </w:divBdr>
        </w:div>
        <w:div w:id="2008707219">
          <w:marLeft w:val="0"/>
          <w:marRight w:val="0"/>
          <w:marTop w:val="0"/>
          <w:marBottom w:val="0"/>
          <w:divBdr>
            <w:top w:val="none" w:sz="0" w:space="0" w:color="auto"/>
            <w:left w:val="none" w:sz="0" w:space="0" w:color="auto"/>
            <w:bottom w:val="none" w:sz="0" w:space="0" w:color="auto"/>
            <w:right w:val="none" w:sz="0" w:space="0" w:color="auto"/>
          </w:divBdr>
        </w:div>
        <w:div w:id="1417627103">
          <w:marLeft w:val="0"/>
          <w:marRight w:val="0"/>
          <w:marTop w:val="0"/>
          <w:marBottom w:val="0"/>
          <w:divBdr>
            <w:top w:val="none" w:sz="0" w:space="0" w:color="auto"/>
            <w:left w:val="none" w:sz="0" w:space="0" w:color="auto"/>
            <w:bottom w:val="none" w:sz="0" w:space="0" w:color="auto"/>
            <w:right w:val="none" w:sz="0" w:space="0" w:color="auto"/>
          </w:divBdr>
        </w:div>
        <w:div w:id="410781932">
          <w:marLeft w:val="0"/>
          <w:marRight w:val="0"/>
          <w:marTop w:val="0"/>
          <w:marBottom w:val="0"/>
          <w:divBdr>
            <w:top w:val="none" w:sz="0" w:space="0" w:color="auto"/>
            <w:left w:val="none" w:sz="0" w:space="0" w:color="auto"/>
            <w:bottom w:val="none" w:sz="0" w:space="0" w:color="auto"/>
            <w:right w:val="none" w:sz="0" w:space="0" w:color="auto"/>
          </w:divBdr>
        </w:div>
        <w:div w:id="1301224560">
          <w:marLeft w:val="0"/>
          <w:marRight w:val="0"/>
          <w:marTop w:val="0"/>
          <w:marBottom w:val="0"/>
          <w:divBdr>
            <w:top w:val="none" w:sz="0" w:space="0" w:color="auto"/>
            <w:left w:val="none" w:sz="0" w:space="0" w:color="auto"/>
            <w:bottom w:val="none" w:sz="0" w:space="0" w:color="auto"/>
            <w:right w:val="none" w:sz="0" w:space="0" w:color="auto"/>
          </w:divBdr>
        </w:div>
        <w:div w:id="358892734">
          <w:marLeft w:val="0"/>
          <w:marRight w:val="0"/>
          <w:marTop w:val="0"/>
          <w:marBottom w:val="0"/>
          <w:divBdr>
            <w:top w:val="none" w:sz="0" w:space="0" w:color="auto"/>
            <w:left w:val="none" w:sz="0" w:space="0" w:color="auto"/>
            <w:bottom w:val="none" w:sz="0" w:space="0" w:color="auto"/>
            <w:right w:val="none" w:sz="0" w:space="0" w:color="auto"/>
          </w:divBdr>
        </w:div>
        <w:div w:id="994527051">
          <w:marLeft w:val="0"/>
          <w:marRight w:val="0"/>
          <w:marTop w:val="0"/>
          <w:marBottom w:val="0"/>
          <w:divBdr>
            <w:top w:val="none" w:sz="0" w:space="0" w:color="auto"/>
            <w:left w:val="none" w:sz="0" w:space="0" w:color="auto"/>
            <w:bottom w:val="none" w:sz="0" w:space="0" w:color="auto"/>
            <w:right w:val="none" w:sz="0" w:space="0" w:color="auto"/>
          </w:divBdr>
        </w:div>
        <w:div w:id="401409105">
          <w:marLeft w:val="0"/>
          <w:marRight w:val="0"/>
          <w:marTop w:val="0"/>
          <w:marBottom w:val="0"/>
          <w:divBdr>
            <w:top w:val="none" w:sz="0" w:space="0" w:color="auto"/>
            <w:left w:val="none" w:sz="0" w:space="0" w:color="auto"/>
            <w:bottom w:val="none" w:sz="0" w:space="0" w:color="auto"/>
            <w:right w:val="none" w:sz="0" w:space="0" w:color="auto"/>
          </w:divBdr>
        </w:div>
        <w:div w:id="301623168">
          <w:marLeft w:val="0"/>
          <w:marRight w:val="0"/>
          <w:marTop w:val="0"/>
          <w:marBottom w:val="0"/>
          <w:divBdr>
            <w:top w:val="none" w:sz="0" w:space="0" w:color="auto"/>
            <w:left w:val="none" w:sz="0" w:space="0" w:color="auto"/>
            <w:bottom w:val="none" w:sz="0" w:space="0" w:color="auto"/>
            <w:right w:val="none" w:sz="0" w:space="0" w:color="auto"/>
          </w:divBdr>
        </w:div>
        <w:div w:id="1165364177">
          <w:marLeft w:val="0"/>
          <w:marRight w:val="0"/>
          <w:marTop w:val="0"/>
          <w:marBottom w:val="0"/>
          <w:divBdr>
            <w:top w:val="none" w:sz="0" w:space="0" w:color="auto"/>
            <w:left w:val="none" w:sz="0" w:space="0" w:color="auto"/>
            <w:bottom w:val="none" w:sz="0" w:space="0" w:color="auto"/>
            <w:right w:val="none" w:sz="0" w:space="0" w:color="auto"/>
          </w:divBdr>
        </w:div>
        <w:div w:id="1621109121">
          <w:marLeft w:val="0"/>
          <w:marRight w:val="0"/>
          <w:marTop w:val="0"/>
          <w:marBottom w:val="0"/>
          <w:divBdr>
            <w:top w:val="none" w:sz="0" w:space="0" w:color="auto"/>
            <w:left w:val="none" w:sz="0" w:space="0" w:color="auto"/>
            <w:bottom w:val="none" w:sz="0" w:space="0" w:color="auto"/>
            <w:right w:val="none" w:sz="0" w:space="0" w:color="auto"/>
          </w:divBdr>
        </w:div>
        <w:div w:id="1344747695">
          <w:marLeft w:val="0"/>
          <w:marRight w:val="0"/>
          <w:marTop w:val="0"/>
          <w:marBottom w:val="0"/>
          <w:divBdr>
            <w:top w:val="none" w:sz="0" w:space="0" w:color="auto"/>
            <w:left w:val="none" w:sz="0" w:space="0" w:color="auto"/>
            <w:bottom w:val="none" w:sz="0" w:space="0" w:color="auto"/>
            <w:right w:val="none" w:sz="0" w:space="0" w:color="auto"/>
          </w:divBdr>
        </w:div>
        <w:div w:id="633295057">
          <w:marLeft w:val="0"/>
          <w:marRight w:val="0"/>
          <w:marTop w:val="0"/>
          <w:marBottom w:val="0"/>
          <w:divBdr>
            <w:top w:val="none" w:sz="0" w:space="0" w:color="auto"/>
            <w:left w:val="none" w:sz="0" w:space="0" w:color="auto"/>
            <w:bottom w:val="none" w:sz="0" w:space="0" w:color="auto"/>
            <w:right w:val="none" w:sz="0" w:space="0" w:color="auto"/>
          </w:divBdr>
        </w:div>
        <w:div w:id="1957638077">
          <w:marLeft w:val="0"/>
          <w:marRight w:val="0"/>
          <w:marTop w:val="0"/>
          <w:marBottom w:val="0"/>
          <w:divBdr>
            <w:top w:val="none" w:sz="0" w:space="0" w:color="auto"/>
            <w:left w:val="none" w:sz="0" w:space="0" w:color="auto"/>
            <w:bottom w:val="none" w:sz="0" w:space="0" w:color="auto"/>
            <w:right w:val="none" w:sz="0" w:space="0" w:color="auto"/>
          </w:divBdr>
        </w:div>
        <w:div w:id="1867406061">
          <w:marLeft w:val="0"/>
          <w:marRight w:val="0"/>
          <w:marTop w:val="0"/>
          <w:marBottom w:val="0"/>
          <w:divBdr>
            <w:top w:val="none" w:sz="0" w:space="0" w:color="auto"/>
            <w:left w:val="none" w:sz="0" w:space="0" w:color="auto"/>
            <w:bottom w:val="none" w:sz="0" w:space="0" w:color="auto"/>
            <w:right w:val="none" w:sz="0" w:space="0" w:color="auto"/>
          </w:divBdr>
        </w:div>
        <w:div w:id="1795324549">
          <w:marLeft w:val="0"/>
          <w:marRight w:val="0"/>
          <w:marTop w:val="0"/>
          <w:marBottom w:val="0"/>
          <w:divBdr>
            <w:top w:val="none" w:sz="0" w:space="0" w:color="auto"/>
            <w:left w:val="none" w:sz="0" w:space="0" w:color="auto"/>
            <w:bottom w:val="none" w:sz="0" w:space="0" w:color="auto"/>
            <w:right w:val="none" w:sz="0" w:space="0" w:color="auto"/>
          </w:divBdr>
        </w:div>
        <w:div w:id="1980718841">
          <w:marLeft w:val="0"/>
          <w:marRight w:val="0"/>
          <w:marTop w:val="0"/>
          <w:marBottom w:val="0"/>
          <w:divBdr>
            <w:top w:val="none" w:sz="0" w:space="0" w:color="auto"/>
            <w:left w:val="none" w:sz="0" w:space="0" w:color="auto"/>
            <w:bottom w:val="none" w:sz="0" w:space="0" w:color="auto"/>
            <w:right w:val="none" w:sz="0" w:space="0" w:color="auto"/>
          </w:divBdr>
        </w:div>
        <w:div w:id="555161403">
          <w:marLeft w:val="0"/>
          <w:marRight w:val="0"/>
          <w:marTop w:val="0"/>
          <w:marBottom w:val="0"/>
          <w:divBdr>
            <w:top w:val="none" w:sz="0" w:space="0" w:color="auto"/>
            <w:left w:val="none" w:sz="0" w:space="0" w:color="auto"/>
            <w:bottom w:val="none" w:sz="0" w:space="0" w:color="auto"/>
            <w:right w:val="none" w:sz="0" w:space="0" w:color="auto"/>
          </w:divBdr>
        </w:div>
        <w:div w:id="843402449">
          <w:marLeft w:val="0"/>
          <w:marRight w:val="0"/>
          <w:marTop w:val="0"/>
          <w:marBottom w:val="0"/>
          <w:divBdr>
            <w:top w:val="none" w:sz="0" w:space="0" w:color="auto"/>
            <w:left w:val="none" w:sz="0" w:space="0" w:color="auto"/>
            <w:bottom w:val="none" w:sz="0" w:space="0" w:color="auto"/>
            <w:right w:val="none" w:sz="0" w:space="0" w:color="auto"/>
          </w:divBdr>
        </w:div>
        <w:div w:id="428084115">
          <w:marLeft w:val="0"/>
          <w:marRight w:val="0"/>
          <w:marTop w:val="0"/>
          <w:marBottom w:val="0"/>
          <w:divBdr>
            <w:top w:val="none" w:sz="0" w:space="0" w:color="auto"/>
            <w:left w:val="none" w:sz="0" w:space="0" w:color="auto"/>
            <w:bottom w:val="none" w:sz="0" w:space="0" w:color="auto"/>
            <w:right w:val="none" w:sz="0" w:space="0" w:color="auto"/>
          </w:divBdr>
        </w:div>
        <w:div w:id="315570684">
          <w:marLeft w:val="0"/>
          <w:marRight w:val="0"/>
          <w:marTop w:val="0"/>
          <w:marBottom w:val="0"/>
          <w:divBdr>
            <w:top w:val="none" w:sz="0" w:space="0" w:color="auto"/>
            <w:left w:val="none" w:sz="0" w:space="0" w:color="auto"/>
            <w:bottom w:val="none" w:sz="0" w:space="0" w:color="auto"/>
            <w:right w:val="none" w:sz="0" w:space="0" w:color="auto"/>
          </w:divBdr>
        </w:div>
        <w:div w:id="432634673">
          <w:marLeft w:val="0"/>
          <w:marRight w:val="0"/>
          <w:marTop w:val="0"/>
          <w:marBottom w:val="0"/>
          <w:divBdr>
            <w:top w:val="none" w:sz="0" w:space="0" w:color="auto"/>
            <w:left w:val="none" w:sz="0" w:space="0" w:color="auto"/>
            <w:bottom w:val="none" w:sz="0" w:space="0" w:color="auto"/>
            <w:right w:val="none" w:sz="0" w:space="0" w:color="auto"/>
          </w:divBdr>
        </w:div>
        <w:div w:id="1147893556">
          <w:marLeft w:val="0"/>
          <w:marRight w:val="0"/>
          <w:marTop w:val="0"/>
          <w:marBottom w:val="0"/>
          <w:divBdr>
            <w:top w:val="none" w:sz="0" w:space="0" w:color="auto"/>
            <w:left w:val="none" w:sz="0" w:space="0" w:color="auto"/>
            <w:bottom w:val="none" w:sz="0" w:space="0" w:color="auto"/>
            <w:right w:val="none" w:sz="0" w:space="0" w:color="auto"/>
          </w:divBdr>
        </w:div>
        <w:div w:id="1114593132">
          <w:marLeft w:val="0"/>
          <w:marRight w:val="0"/>
          <w:marTop w:val="0"/>
          <w:marBottom w:val="0"/>
          <w:divBdr>
            <w:top w:val="none" w:sz="0" w:space="0" w:color="auto"/>
            <w:left w:val="none" w:sz="0" w:space="0" w:color="auto"/>
            <w:bottom w:val="none" w:sz="0" w:space="0" w:color="auto"/>
            <w:right w:val="none" w:sz="0" w:space="0" w:color="auto"/>
          </w:divBdr>
        </w:div>
        <w:div w:id="2093163180">
          <w:marLeft w:val="0"/>
          <w:marRight w:val="0"/>
          <w:marTop w:val="0"/>
          <w:marBottom w:val="0"/>
          <w:divBdr>
            <w:top w:val="none" w:sz="0" w:space="0" w:color="auto"/>
            <w:left w:val="none" w:sz="0" w:space="0" w:color="auto"/>
            <w:bottom w:val="none" w:sz="0" w:space="0" w:color="auto"/>
            <w:right w:val="none" w:sz="0" w:space="0" w:color="auto"/>
          </w:divBdr>
        </w:div>
        <w:div w:id="1160652383">
          <w:marLeft w:val="0"/>
          <w:marRight w:val="0"/>
          <w:marTop w:val="0"/>
          <w:marBottom w:val="0"/>
          <w:divBdr>
            <w:top w:val="none" w:sz="0" w:space="0" w:color="auto"/>
            <w:left w:val="none" w:sz="0" w:space="0" w:color="auto"/>
            <w:bottom w:val="none" w:sz="0" w:space="0" w:color="auto"/>
            <w:right w:val="none" w:sz="0" w:space="0" w:color="auto"/>
          </w:divBdr>
        </w:div>
        <w:div w:id="410204635">
          <w:marLeft w:val="0"/>
          <w:marRight w:val="0"/>
          <w:marTop w:val="0"/>
          <w:marBottom w:val="0"/>
          <w:divBdr>
            <w:top w:val="none" w:sz="0" w:space="0" w:color="auto"/>
            <w:left w:val="none" w:sz="0" w:space="0" w:color="auto"/>
            <w:bottom w:val="none" w:sz="0" w:space="0" w:color="auto"/>
            <w:right w:val="none" w:sz="0" w:space="0" w:color="auto"/>
          </w:divBdr>
        </w:div>
        <w:div w:id="623923258">
          <w:marLeft w:val="0"/>
          <w:marRight w:val="0"/>
          <w:marTop w:val="0"/>
          <w:marBottom w:val="0"/>
          <w:divBdr>
            <w:top w:val="none" w:sz="0" w:space="0" w:color="auto"/>
            <w:left w:val="none" w:sz="0" w:space="0" w:color="auto"/>
            <w:bottom w:val="none" w:sz="0" w:space="0" w:color="auto"/>
            <w:right w:val="none" w:sz="0" w:space="0" w:color="auto"/>
          </w:divBdr>
        </w:div>
        <w:div w:id="1389839784">
          <w:marLeft w:val="0"/>
          <w:marRight w:val="0"/>
          <w:marTop w:val="0"/>
          <w:marBottom w:val="0"/>
          <w:divBdr>
            <w:top w:val="none" w:sz="0" w:space="0" w:color="auto"/>
            <w:left w:val="none" w:sz="0" w:space="0" w:color="auto"/>
            <w:bottom w:val="none" w:sz="0" w:space="0" w:color="auto"/>
            <w:right w:val="none" w:sz="0" w:space="0" w:color="auto"/>
          </w:divBdr>
        </w:div>
        <w:div w:id="1819877175">
          <w:marLeft w:val="0"/>
          <w:marRight w:val="0"/>
          <w:marTop w:val="0"/>
          <w:marBottom w:val="0"/>
          <w:divBdr>
            <w:top w:val="none" w:sz="0" w:space="0" w:color="auto"/>
            <w:left w:val="none" w:sz="0" w:space="0" w:color="auto"/>
            <w:bottom w:val="none" w:sz="0" w:space="0" w:color="auto"/>
            <w:right w:val="none" w:sz="0" w:space="0" w:color="auto"/>
          </w:divBdr>
        </w:div>
        <w:div w:id="182746350">
          <w:marLeft w:val="0"/>
          <w:marRight w:val="0"/>
          <w:marTop w:val="0"/>
          <w:marBottom w:val="0"/>
          <w:divBdr>
            <w:top w:val="none" w:sz="0" w:space="0" w:color="auto"/>
            <w:left w:val="none" w:sz="0" w:space="0" w:color="auto"/>
            <w:bottom w:val="none" w:sz="0" w:space="0" w:color="auto"/>
            <w:right w:val="none" w:sz="0" w:space="0" w:color="auto"/>
          </w:divBdr>
        </w:div>
        <w:div w:id="1742825396">
          <w:marLeft w:val="0"/>
          <w:marRight w:val="0"/>
          <w:marTop w:val="0"/>
          <w:marBottom w:val="0"/>
          <w:divBdr>
            <w:top w:val="none" w:sz="0" w:space="0" w:color="auto"/>
            <w:left w:val="none" w:sz="0" w:space="0" w:color="auto"/>
            <w:bottom w:val="none" w:sz="0" w:space="0" w:color="auto"/>
            <w:right w:val="none" w:sz="0" w:space="0" w:color="auto"/>
          </w:divBdr>
        </w:div>
        <w:div w:id="427047179">
          <w:marLeft w:val="0"/>
          <w:marRight w:val="0"/>
          <w:marTop w:val="0"/>
          <w:marBottom w:val="0"/>
          <w:divBdr>
            <w:top w:val="none" w:sz="0" w:space="0" w:color="auto"/>
            <w:left w:val="none" w:sz="0" w:space="0" w:color="auto"/>
            <w:bottom w:val="none" w:sz="0" w:space="0" w:color="auto"/>
            <w:right w:val="none" w:sz="0" w:space="0" w:color="auto"/>
          </w:divBdr>
        </w:div>
        <w:div w:id="1714764286">
          <w:marLeft w:val="0"/>
          <w:marRight w:val="0"/>
          <w:marTop w:val="0"/>
          <w:marBottom w:val="0"/>
          <w:divBdr>
            <w:top w:val="none" w:sz="0" w:space="0" w:color="auto"/>
            <w:left w:val="none" w:sz="0" w:space="0" w:color="auto"/>
            <w:bottom w:val="none" w:sz="0" w:space="0" w:color="auto"/>
            <w:right w:val="none" w:sz="0" w:space="0" w:color="auto"/>
          </w:divBdr>
        </w:div>
        <w:div w:id="1598754927">
          <w:marLeft w:val="0"/>
          <w:marRight w:val="0"/>
          <w:marTop w:val="0"/>
          <w:marBottom w:val="0"/>
          <w:divBdr>
            <w:top w:val="none" w:sz="0" w:space="0" w:color="auto"/>
            <w:left w:val="none" w:sz="0" w:space="0" w:color="auto"/>
            <w:bottom w:val="none" w:sz="0" w:space="0" w:color="auto"/>
            <w:right w:val="none" w:sz="0" w:space="0" w:color="auto"/>
          </w:divBdr>
        </w:div>
        <w:div w:id="2056465863">
          <w:marLeft w:val="0"/>
          <w:marRight w:val="0"/>
          <w:marTop w:val="0"/>
          <w:marBottom w:val="0"/>
          <w:divBdr>
            <w:top w:val="none" w:sz="0" w:space="0" w:color="auto"/>
            <w:left w:val="none" w:sz="0" w:space="0" w:color="auto"/>
            <w:bottom w:val="none" w:sz="0" w:space="0" w:color="auto"/>
            <w:right w:val="none" w:sz="0" w:space="0" w:color="auto"/>
          </w:divBdr>
        </w:div>
        <w:div w:id="938368626">
          <w:marLeft w:val="0"/>
          <w:marRight w:val="0"/>
          <w:marTop w:val="0"/>
          <w:marBottom w:val="0"/>
          <w:divBdr>
            <w:top w:val="none" w:sz="0" w:space="0" w:color="auto"/>
            <w:left w:val="none" w:sz="0" w:space="0" w:color="auto"/>
            <w:bottom w:val="none" w:sz="0" w:space="0" w:color="auto"/>
            <w:right w:val="none" w:sz="0" w:space="0" w:color="auto"/>
          </w:divBdr>
        </w:div>
        <w:div w:id="1572084532">
          <w:marLeft w:val="0"/>
          <w:marRight w:val="0"/>
          <w:marTop w:val="0"/>
          <w:marBottom w:val="0"/>
          <w:divBdr>
            <w:top w:val="none" w:sz="0" w:space="0" w:color="auto"/>
            <w:left w:val="none" w:sz="0" w:space="0" w:color="auto"/>
            <w:bottom w:val="none" w:sz="0" w:space="0" w:color="auto"/>
            <w:right w:val="none" w:sz="0" w:space="0" w:color="auto"/>
          </w:divBdr>
        </w:div>
        <w:div w:id="447312390">
          <w:marLeft w:val="0"/>
          <w:marRight w:val="0"/>
          <w:marTop w:val="0"/>
          <w:marBottom w:val="0"/>
          <w:divBdr>
            <w:top w:val="none" w:sz="0" w:space="0" w:color="auto"/>
            <w:left w:val="none" w:sz="0" w:space="0" w:color="auto"/>
            <w:bottom w:val="none" w:sz="0" w:space="0" w:color="auto"/>
            <w:right w:val="none" w:sz="0" w:space="0" w:color="auto"/>
          </w:divBdr>
        </w:div>
        <w:div w:id="178275447">
          <w:marLeft w:val="0"/>
          <w:marRight w:val="0"/>
          <w:marTop w:val="0"/>
          <w:marBottom w:val="0"/>
          <w:divBdr>
            <w:top w:val="none" w:sz="0" w:space="0" w:color="auto"/>
            <w:left w:val="none" w:sz="0" w:space="0" w:color="auto"/>
            <w:bottom w:val="none" w:sz="0" w:space="0" w:color="auto"/>
            <w:right w:val="none" w:sz="0" w:space="0" w:color="auto"/>
          </w:divBdr>
        </w:div>
        <w:div w:id="892424508">
          <w:marLeft w:val="0"/>
          <w:marRight w:val="0"/>
          <w:marTop w:val="0"/>
          <w:marBottom w:val="0"/>
          <w:divBdr>
            <w:top w:val="none" w:sz="0" w:space="0" w:color="auto"/>
            <w:left w:val="none" w:sz="0" w:space="0" w:color="auto"/>
            <w:bottom w:val="none" w:sz="0" w:space="0" w:color="auto"/>
            <w:right w:val="none" w:sz="0" w:space="0" w:color="auto"/>
          </w:divBdr>
        </w:div>
        <w:div w:id="2137525264">
          <w:marLeft w:val="0"/>
          <w:marRight w:val="0"/>
          <w:marTop w:val="0"/>
          <w:marBottom w:val="0"/>
          <w:divBdr>
            <w:top w:val="none" w:sz="0" w:space="0" w:color="auto"/>
            <w:left w:val="none" w:sz="0" w:space="0" w:color="auto"/>
            <w:bottom w:val="none" w:sz="0" w:space="0" w:color="auto"/>
            <w:right w:val="none" w:sz="0" w:space="0" w:color="auto"/>
          </w:divBdr>
        </w:div>
        <w:div w:id="1155298958">
          <w:marLeft w:val="0"/>
          <w:marRight w:val="0"/>
          <w:marTop w:val="0"/>
          <w:marBottom w:val="0"/>
          <w:divBdr>
            <w:top w:val="none" w:sz="0" w:space="0" w:color="auto"/>
            <w:left w:val="none" w:sz="0" w:space="0" w:color="auto"/>
            <w:bottom w:val="none" w:sz="0" w:space="0" w:color="auto"/>
            <w:right w:val="none" w:sz="0" w:space="0" w:color="auto"/>
          </w:divBdr>
        </w:div>
        <w:div w:id="1382554376">
          <w:marLeft w:val="0"/>
          <w:marRight w:val="0"/>
          <w:marTop w:val="0"/>
          <w:marBottom w:val="0"/>
          <w:divBdr>
            <w:top w:val="none" w:sz="0" w:space="0" w:color="auto"/>
            <w:left w:val="none" w:sz="0" w:space="0" w:color="auto"/>
            <w:bottom w:val="none" w:sz="0" w:space="0" w:color="auto"/>
            <w:right w:val="none" w:sz="0" w:space="0" w:color="auto"/>
          </w:divBdr>
        </w:div>
        <w:div w:id="557714046">
          <w:marLeft w:val="0"/>
          <w:marRight w:val="0"/>
          <w:marTop w:val="0"/>
          <w:marBottom w:val="0"/>
          <w:divBdr>
            <w:top w:val="none" w:sz="0" w:space="0" w:color="auto"/>
            <w:left w:val="none" w:sz="0" w:space="0" w:color="auto"/>
            <w:bottom w:val="none" w:sz="0" w:space="0" w:color="auto"/>
            <w:right w:val="none" w:sz="0" w:space="0" w:color="auto"/>
          </w:divBdr>
        </w:div>
        <w:div w:id="533269350">
          <w:marLeft w:val="0"/>
          <w:marRight w:val="0"/>
          <w:marTop w:val="0"/>
          <w:marBottom w:val="0"/>
          <w:divBdr>
            <w:top w:val="none" w:sz="0" w:space="0" w:color="auto"/>
            <w:left w:val="none" w:sz="0" w:space="0" w:color="auto"/>
            <w:bottom w:val="none" w:sz="0" w:space="0" w:color="auto"/>
            <w:right w:val="none" w:sz="0" w:space="0" w:color="auto"/>
          </w:divBdr>
        </w:div>
        <w:div w:id="1500735760">
          <w:marLeft w:val="0"/>
          <w:marRight w:val="0"/>
          <w:marTop w:val="0"/>
          <w:marBottom w:val="0"/>
          <w:divBdr>
            <w:top w:val="none" w:sz="0" w:space="0" w:color="auto"/>
            <w:left w:val="none" w:sz="0" w:space="0" w:color="auto"/>
            <w:bottom w:val="none" w:sz="0" w:space="0" w:color="auto"/>
            <w:right w:val="none" w:sz="0" w:space="0" w:color="auto"/>
          </w:divBdr>
        </w:div>
        <w:div w:id="1049186587">
          <w:marLeft w:val="0"/>
          <w:marRight w:val="0"/>
          <w:marTop w:val="0"/>
          <w:marBottom w:val="0"/>
          <w:divBdr>
            <w:top w:val="none" w:sz="0" w:space="0" w:color="auto"/>
            <w:left w:val="none" w:sz="0" w:space="0" w:color="auto"/>
            <w:bottom w:val="none" w:sz="0" w:space="0" w:color="auto"/>
            <w:right w:val="none" w:sz="0" w:space="0" w:color="auto"/>
          </w:divBdr>
        </w:div>
        <w:div w:id="519127569">
          <w:marLeft w:val="0"/>
          <w:marRight w:val="0"/>
          <w:marTop w:val="0"/>
          <w:marBottom w:val="0"/>
          <w:divBdr>
            <w:top w:val="none" w:sz="0" w:space="0" w:color="auto"/>
            <w:left w:val="none" w:sz="0" w:space="0" w:color="auto"/>
            <w:bottom w:val="none" w:sz="0" w:space="0" w:color="auto"/>
            <w:right w:val="none" w:sz="0" w:space="0" w:color="auto"/>
          </w:divBdr>
        </w:div>
        <w:div w:id="553278113">
          <w:marLeft w:val="0"/>
          <w:marRight w:val="0"/>
          <w:marTop w:val="0"/>
          <w:marBottom w:val="0"/>
          <w:divBdr>
            <w:top w:val="none" w:sz="0" w:space="0" w:color="auto"/>
            <w:left w:val="none" w:sz="0" w:space="0" w:color="auto"/>
            <w:bottom w:val="none" w:sz="0" w:space="0" w:color="auto"/>
            <w:right w:val="none" w:sz="0" w:space="0" w:color="auto"/>
          </w:divBdr>
        </w:div>
        <w:div w:id="87822503">
          <w:marLeft w:val="0"/>
          <w:marRight w:val="0"/>
          <w:marTop w:val="0"/>
          <w:marBottom w:val="0"/>
          <w:divBdr>
            <w:top w:val="none" w:sz="0" w:space="0" w:color="auto"/>
            <w:left w:val="none" w:sz="0" w:space="0" w:color="auto"/>
            <w:bottom w:val="none" w:sz="0" w:space="0" w:color="auto"/>
            <w:right w:val="none" w:sz="0" w:space="0" w:color="auto"/>
          </w:divBdr>
        </w:div>
        <w:div w:id="1975021058">
          <w:marLeft w:val="0"/>
          <w:marRight w:val="0"/>
          <w:marTop w:val="0"/>
          <w:marBottom w:val="0"/>
          <w:divBdr>
            <w:top w:val="none" w:sz="0" w:space="0" w:color="auto"/>
            <w:left w:val="none" w:sz="0" w:space="0" w:color="auto"/>
            <w:bottom w:val="none" w:sz="0" w:space="0" w:color="auto"/>
            <w:right w:val="none" w:sz="0" w:space="0" w:color="auto"/>
          </w:divBdr>
        </w:div>
        <w:div w:id="1720741804">
          <w:marLeft w:val="0"/>
          <w:marRight w:val="0"/>
          <w:marTop w:val="0"/>
          <w:marBottom w:val="0"/>
          <w:divBdr>
            <w:top w:val="none" w:sz="0" w:space="0" w:color="auto"/>
            <w:left w:val="none" w:sz="0" w:space="0" w:color="auto"/>
            <w:bottom w:val="none" w:sz="0" w:space="0" w:color="auto"/>
            <w:right w:val="none" w:sz="0" w:space="0" w:color="auto"/>
          </w:divBdr>
        </w:div>
        <w:div w:id="936837818">
          <w:marLeft w:val="0"/>
          <w:marRight w:val="0"/>
          <w:marTop w:val="0"/>
          <w:marBottom w:val="0"/>
          <w:divBdr>
            <w:top w:val="none" w:sz="0" w:space="0" w:color="auto"/>
            <w:left w:val="none" w:sz="0" w:space="0" w:color="auto"/>
            <w:bottom w:val="none" w:sz="0" w:space="0" w:color="auto"/>
            <w:right w:val="none" w:sz="0" w:space="0" w:color="auto"/>
          </w:divBdr>
        </w:div>
        <w:div w:id="677343630">
          <w:marLeft w:val="0"/>
          <w:marRight w:val="0"/>
          <w:marTop w:val="0"/>
          <w:marBottom w:val="0"/>
          <w:divBdr>
            <w:top w:val="none" w:sz="0" w:space="0" w:color="auto"/>
            <w:left w:val="none" w:sz="0" w:space="0" w:color="auto"/>
            <w:bottom w:val="none" w:sz="0" w:space="0" w:color="auto"/>
            <w:right w:val="none" w:sz="0" w:space="0" w:color="auto"/>
          </w:divBdr>
        </w:div>
        <w:div w:id="1808355422">
          <w:marLeft w:val="0"/>
          <w:marRight w:val="0"/>
          <w:marTop w:val="0"/>
          <w:marBottom w:val="0"/>
          <w:divBdr>
            <w:top w:val="none" w:sz="0" w:space="0" w:color="auto"/>
            <w:left w:val="none" w:sz="0" w:space="0" w:color="auto"/>
            <w:bottom w:val="none" w:sz="0" w:space="0" w:color="auto"/>
            <w:right w:val="none" w:sz="0" w:space="0" w:color="auto"/>
          </w:divBdr>
        </w:div>
        <w:div w:id="905071928">
          <w:marLeft w:val="0"/>
          <w:marRight w:val="0"/>
          <w:marTop w:val="0"/>
          <w:marBottom w:val="0"/>
          <w:divBdr>
            <w:top w:val="none" w:sz="0" w:space="0" w:color="auto"/>
            <w:left w:val="none" w:sz="0" w:space="0" w:color="auto"/>
            <w:bottom w:val="none" w:sz="0" w:space="0" w:color="auto"/>
            <w:right w:val="none" w:sz="0" w:space="0" w:color="auto"/>
          </w:divBdr>
        </w:div>
        <w:div w:id="1967929370">
          <w:marLeft w:val="0"/>
          <w:marRight w:val="0"/>
          <w:marTop w:val="0"/>
          <w:marBottom w:val="0"/>
          <w:divBdr>
            <w:top w:val="none" w:sz="0" w:space="0" w:color="auto"/>
            <w:left w:val="none" w:sz="0" w:space="0" w:color="auto"/>
            <w:bottom w:val="none" w:sz="0" w:space="0" w:color="auto"/>
            <w:right w:val="none" w:sz="0" w:space="0" w:color="auto"/>
          </w:divBdr>
        </w:div>
        <w:div w:id="1669867179">
          <w:marLeft w:val="0"/>
          <w:marRight w:val="0"/>
          <w:marTop w:val="0"/>
          <w:marBottom w:val="0"/>
          <w:divBdr>
            <w:top w:val="none" w:sz="0" w:space="0" w:color="auto"/>
            <w:left w:val="none" w:sz="0" w:space="0" w:color="auto"/>
            <w:bottom w:val="none" w:sz="0" w:space="0" w:color="auto"/>
            <w:right w:val="none" w:sz="0" w:space="0" w:color="auto"/>
          </w:divBdr>
        </w:div>
        <w:div w:id="2058118911">
          <w:marLeft w:val="0"/>
          <w:marRight w:val="0"/>
          <w:marTop w:val="0"/>
          <w:marBottom w:val="0"/>
          <w:divBdr>
            <w:top w:val="none" w:sz="0" w:space="0" w:color="auto"/>
            <w:left w:val="none" w:sz="0" w:space="0" w:color="auto"/>
            <w:bottom w:val="none" w:sz="0" w:space="0" w:color="auto"/>
            <w:right w:val="none" w:sz="0" w:space="0" w:color="auto"/>
          </w:divBdr>
        </w:div>
        <w:div w:id="1728994867">
          <w:marLeft w:val="0"/>
          <w:marRight w:val="0"/>
          <w:marTop w:val="0"/>
          <w:marBottom w:val="0"/>
          <w:divBdr>
            <w:top w:val="none" w:sz="0" w:space="0" w:color="auto"/>
            <w:left w:val="none" w:sz="0" w:space="0" w:color="auto"/>
            <w:bottom w:val="none" w:sz="0" w:space="0" w:color="auto"/>
            <w:right w:val="none" w:sz="0" w:space="0" w:color="auto"/>
          </w:divBdr>
        </w:div>
        <w:div w:id="1896232131">
          <w:marLeft w:val="0"/>
          <w:marRight w:val="0"/>
          <w:marTop w:val="0"/>
          <w:marBottom w:val="0"/>
          <w:divBdr>
            <w:top w:val="none" w:sz="0" w:space="0" w:color="auto"/>
            <w:left w:val="none" w:sz="0" w:space="0" w:color="auto"/>
            <w:bottom w:val="none" w:sz="0" w:space="0" w:color="auto"/>
            <w:right w:val="none" w:sz="0" w:space="0" w:color="auto"/>
          </w:divBdr>
        </w:div>
        <w:div w:id="1074742966">
          <w:marLeft w:val="0"/>
          <w:marRight w:val="0"/>
          <w:marTop w:val="0"/>
          <w:marBottom w:val="0"/>
          <w:divBdr>
            <w:top w:val="none" w:sz="0" w:space="0" w:color="auto"/>
            <w:left w:val="none" w:sz="0" w:space="0" w:color="auto"/>
            <w:bottom w:val="none" w:sz="0" w:space="0" w:color="auto"/>
            <w:right w:val="none" w:sz="0" w:space="0" w:color="auto"/>
          </w:divBdr>
        </w:div>
        <w:div w:id="1210800784">
          <w:marLeft w:val="0"/>
          <w:marRight w:val="0"/>
          <w:marTop w:val="0"/>
          <w:marBottom w:val="0"/>
          <w:divBdr>
            <w:top w:val="none" w:sz="0" w:space="0" w:color="auto"/>
            <w:left w:val="none" w:sz="0" w:space="0" w:color="auto"/>
            <w:bottom w:val="none" w:sz="0" w:space="0" w:color="auto"/>
            <w:right w:val="none" w:sz="0" w:space="0" w:color="auto"/>
          </w:divBdr>
        </w:div>
        <w:div w:id="1563756040">
          <w:marLeft w:val="0"/>
          <w:marRight w:val="0"/>
          <w:marTop w:val="0"/>
          <w:marBottom w:val="0"/>
          <w:divBdr>
            <w:top w:val="none" w:sz="0" w:space="0" w:color="auto"/>
            <w:left w:val="none" w:sz="0" w:space="0" w:color="auto"/>
            <w:bottom w:val="none" w:sz="0" w:space="0" w:color="auto"/>
            <w:right w:val="none" w:sz="0" w:space="0" w:color="auto"/>
          </w:divBdr>
        </w:div>
        <w:div w:id="1841237847">
          <w:marLeft w:val="0"/>
          <w:marRight w:val="0"/>
          <w:marTop w:val="0"/>
          <w:marBottom w:val="0"/>
          <w:divBdr>
            <w:top w:val="none" w:sz="0" w:space="0" w:color="auto"/>
            <w:left w:val="none" w:sz="0" w:space="0" w:color="auto"/>
            <w:bottom w:val="none" w:sz="0" w:space="0" w:color="auto"/>
            <w:right w:val="none" w:sz="0" w:space="0" w:color="auto"/>
          </w:divBdr>
        </w:div>
        <w:div w:id="132255749">
          <w:marLeft w:val="0"/>
          <w:marRight w:val="0"/>
          <w:marTop w:val="0"/>
          <w:marBottom w:val="0"/>
          <w:divBdr>
            <w:top w:val="none" w:sz="0" w:space="0" w:color="auto"/>
            <w:left w:val="none" w:sz="0" w:space="0" w:color="auto"/>
            <w:bottom w:val="none" w:sz="0" w:space="0" w:color="auto"/>
            <w:right w:val="none" w:sz="0" w:space="0" w:color="auto"/>
          </w:divBdr>
        </w:div>
        <w:div w:id="653534082">
          <w:marLeft w:val="0"/>
          <w:marRight w:val="0"/>
          <w:marTop w:val="0"/>
          <w:marBottom w:val="0"/>
          <w:divBdr>
            <w:top w:val="none" w:sz="0" w:space="0" w:color="auto"/>
            <w:left w:val="none" w:sz="0" w:space="0" w:color="auto"/>
            <w:bottom w:val="none" w:sz="0" w:space="0" w:color="auto"/>
            <w:right w:val="none" w:sz="0" w:space="0" w:color="auto"/>
          </w:divBdr>
        </w:div>
        <w:div w:id="1411539839">
          <w:marLeft w:val="0"/>
          <w:marRight w:val="0"/>
          <w:marTop w:val="0"/>
          <w:marBottom w:val="0"/>
          <w:divBdr>
            <w:top w:val="none" w:sz="0" w:space="0" w:color="auto"/>
            <w:left w:val="none" w:sz="0" w:space="0" w:color="auto"/>
            <w:bottom w:val="none" w:sz="0" w:space="0" w:color="auto"/>
            <w:right w:val="none" w:sz="0" w:space="0" w:color="auto"/>
          </w:divBdr>
        </w:div>
        <w:div w:id="604920743">
          <w:marLeft w:val="0"/>
          <w:marRight w:val="0"/>
          <w:marTop w:val="0"/>
          <w:marBottom w:val="0"/>
          <w:divBdr>
            <w:top w:val="none" w:sz="0" w:space="0" w:color="auto"/>
            <w:left w:val="none" w:sz="0" w:space="0" w:color="auto"/>
            <w:bottom w:val="none" w:sz="0" w:space="0" w:color="auto"/>
            <w:right w:val="none" w:sz="0" w:space="0" w:color="auto"/>
          </w:divBdr>
        </w:div>
        <w:div w:id="1055856952">
          <w:marLeft w:val="0"/>
          <w:marRight w:val="0"/>
          <w:marTop w:val="0"/>
          <w:marBottom w:val="0"/>
          <w:divBdr>
            <w:top w:val="none" w:sz="0" w:space="0" w:color="auto"/>
            <w:left w:val="none" w:sz="0" w:space="0" w:color="auto"/>
            <w:bottom w:val="none" w:sz="0" w:space="0" w:color="auto"/>
            <w:right w:val="none" w:sz="0" w:space="0" w:color="auto"/>
          </w:divBdr>
        </w:div>
        <w:div w:id="468134774">
          <w:marLeft w:val="0"/>
          <w:marRight w:val="0"/>
          <w:marTop w:val="0"/>
          <w:marBottom w:val="0"/>
          <w:divBdr>
            <w:top w:val="none" w:sz="0" w:space="0" w:color="auto"/>
            <w:left w:val="none" w:sz="0" w:space="0" w:color="auto"/>
            <w:bottom w:val="none" w:sz="0" w:space="0" w:color="auto"/>
            <w:right w:val="none" w:sz="0" w:space="0" w:color="auto"/>
          </w:divBdr>
        </w:div>
        <w:div w:id="1536891833">
          <w:marLeft w:val="0"/>
          <w:marRight w:val="0"/>
          <w:marTop w:val="0"/>
          <w:marBottom w:val="0"/>
          <w:divBdr>
            <w:top w:val="none" w:sz="0" w:space="0" w:color="auto"/>
            <w:left w:val="none" w:sz="0" w:space="0" w:color="auto"/>
            <w:bottom w:val="none" w:sz="0" w:space="0" w:color="auto"/>
            <w:right w:val="none" w:sz="0" w:space="0" w:color="auto"/>
          </w:divBdr>
        </w:div>
        <w:div w:id="632751563">
          <w:marLeft w:val="0"/>
          <w:marRight w:val="0"/>
          <w:marTop w:val="0"/>
          <w:marBottom w:val="0"/>
          <w:divBdr>
            <w:top w:val="none" w:sz="0" w:space="0" w:color="auto"/>
            <w:left w:val="none" w:sz="0" w:space="0" w:color="auto"/>
            <w:bottom w:val="none" w:sz="0" w:space="0" w:color="auto"/>
            <w:right w:val="none" w:sz="0" w:space="0" w:color="auto"/>
          </w:divBdr>
        </w:div>
        <w:div w:id="1386178426">
          <w:marLeft w:val="0"/>
          <w:marRight w:val="0"/>
          <w:marTop w:val="0"/>
          <w:marBottom w:val="0"/>
          <w:divBdr>
            <w:top w:val="none" w:sz="0" w:space="0" w:color="auto"/>
            <w:left w:val="none" w:sz="0" w:space="0" w:color="auto"/>
            <w:bottom w:val="none" w:sz="0" w:space="0" w:color="auto"/>
            <w:right w:val="none" w:sz="0" w:space="0" w:color="auto"/>
          </w:divBdr>
        </w:div>
        <w:div w:id="1769888875">
          <w:marLeft w:val="0"/>
          <w:marRight w:val="0"/>
          <w:marTop w:val="0"/>
          <w:marBottom w:val="0"/>
          <w:divBdr>
            <w:top w:val="none" w:sz="0" w:space="0" w:color="auto"/>
            <w:left w:val="none" w:sz="0" w:space="0" w:color="auto"/>
            <w:bottom w:val="none" w:sz="0" w:space="0" w:color="auto"/>
            <w:right w:val="none" w:sz="0" w:space="0" w:color="auto"/>
          </w:divBdr>
        </w:div>
        <w:div w:id="518856047">
          <w:marLeft w:val="0"/>
          <w:marRight w:val="0"/>
          <w:marTop w:val="0"/>
          <w:marBottom w:val="0"/>
          <w:divBdr>
            <w:top w:val="none" w:sz="0" w:space="0" w:color="auto"/>
            <w:left w:val="none" w:sz="0" w:space="0" w:color="auto"/>
            <w:bottom w:val="none" w:sz="0" w:space="0" w:color="auto"/>
            <w:right w:val="none" w:sz="0" w:space="0" w:color="auto"/>
          </w:divBdr>
        </w:div>
        <w:div w:id="1001931137">
          <w:marLeft w:val="0"/>
          <w:marRight w:val="0"/>
          <w:marTop w:val="0"/>
          <w:marBottom w:val="0"/>
          <w:divBdr>
            <w:top w:val="none" w:sz="0" w:space="0" w:color="auto"/>
            <w:left w:val="none" w:sz="0" w:space="0" w:color="auto"/>
            <w:bottom w:val="none" w:sz="0" w:space="0" w:color="auto"/>
            <w:right w:val="none" w:sz="0" w:space="0" w:color="auto"/>
          </w:divBdr>
        </w:div>
        <w:div w:id="204414621">
          <w:marLeft w:val="0"/>
          <w:marRight w:val="0"/>
          <w:marTop w:val="0"/>
          <w:marBottom w:val="0"/>
          <w:divBdr>
            <w:top w:val="none" w:sz="0" w:space="0" w:color="auto"/>
            <w:left w:val="none" w:sz="0" w:space="0" w:color="auto"/>
            <w:bottom w:val="none" w:sz="0" w:space="0" w:color="auto"/>
            <w:right w:val="none" w:sz="0" w:space="0" w:color="auto"/>
          </w:divBdr>
        </w:div>
        <w:div w:id="1859847843">
          <w:marLeft w:val="0"/>
          <w:marRight w:val="0"/>
          <w:marTop w:val="0"/>
          <w:marBottom w:val="0"/>
          <w:divBdr>
            <w:top w:val="none" w:sz="0" w:space="0" w:color="auto"/>
            <w:left w:val="none" w:sz="0" w:space="0" w:color="auto"/>
            <w:bottom w:val="none" w:sz="0" w:space="0" w:color="auto"/>
            <w:right w:val="none" w:sz="0" w:space="0" w:color="auto"/>
          </w:divBdr>
        </w:div>
        <w:div w:id="392853027">
          <w:marLeft w:val="0"/>
          <w:marRight w:val="0"/>
          <w:marTop w:val="0"/>
          <w:marBottom w:val="0"/>
          <w:divBdr>
            <w:top w:val="none" w:sz="0" w:space="0" w:color="auto"/>
            <w:left w:val="none" w:sz="0" w:space="0" w:color="auto"/>
            <w:bottom w:val="none" w:sz="0" w:space="0" w:color="auto"/>
            <w:right w:val="none" w:sz="0" w:space="0" w:color="auto"/>
          </w:divBdr>
        </w:div>
        <w:div w:id="898977988">
          <w:marLeft w:val="0"/>
          <w:marRight w:val="0"/>
          <w:marTop w:val="0"/>
          <w:marBottom w:val="0"/>
          <w:divBdr>
            <w:top w:val="none" w:sz="0" w:space="0" w:color="auto"/>
            <w:left w:val="none" w:sz="0" w:space="0" w:color="auto"/>
            <w:bottom w:val="none" w:sz="0" w:space="0" w:color="auto"/>
            <w:right w:val="none" w:sz="0" w:space="0" w:color="auto"/>
          </w:divBdr>
        </w:div>
        <w:div w:id="479925723">
          <w:marLeft w:val="0"/>
          <w:marRight w:val="0"/>
          <w:marTop w:val="0"/>
          <w:marBottom w:val="0"/>
          <w:divBdr>
            <w:top w:val="none" w:sz="0" w:space="0" w:color="auto"/>
            <w:left w:val="none" w:sz="0" w:space="0" w:color="auto"/>
            <w:bottom w:val="none" w:sz="0" w:space="0" w:color="auto"/>
            <w:right w:val="none" w:sz="0" w:space="0" w:color="auto"/>
          </w:divBdr>
        </w:div>
        <w:div w:id="2111704252">
          <w:marLeft w:val="0"/>
          <w:marRight w:val="0"/>
          <w:marTop w:val="0"/>
          <w:marBottom w:val="0"/>
          <w:divBdr>
            <w:top w:val="none" w:sz="0" w:space="0" w:color="auto"/>
            <w:left w:val="none" w:sz="0" w:space="0" w:color="auto"/>
            <w:bottom w:val="none" w:sz="0" w:space="0" w:color="auto"/>
            <w:right w:val="none" w:sz="0" w:space="0" w:color="auto"/>
          </w:divBdr>
        </w:div>
        <w:div w:id="392242512">
          <w:marLeft w:val="0"/>
          <w:marRight w:val="0"/>
          <w:marTop w:val="0"/>
          <w:marBottom w:val="0"/>
          <w:divBdr>
            <w:top w:val="none" w:sz="0" w:space="0" w:color="auto"/>
            <w:left w:val="none" w:sz="0" w:space="0" w:color="auto"/>
            <w:bottom w:val="none" w:sz="0" w:space="0" w:color="auto"/>
            <w:right w:val="none" w:sz="0" w:space="0" w:color="auto"/>
          </w:divBdr>
        </w:div>
        <w:div w:id="1883207212">
          <w:marLeft w:val="0"/>
          <w:marRight w:val="0"/>
          <w:marTop w:val="0"/>
          <w:marBottom w:val="0"/>
          <w:divBdr>
            <w:top w:val="none" w:sz="0" w:space="0" w:color="auto"/>
            <w:left w:val="none" w:sz="0" w:space="0" w:color="auto"/>
            <w:bottom w:val="none" w:sz="0" w:space="0" w:color="auto"/>
            <w:right w:val="none" w:sz="0" w:space="0" w:color="auto"/>
          </w:divBdr>
        </w:div>
        <w:div w:id="561872388">
          <w:marLeft w:val="0"/>
          <w:marRight w:val="0"/>
          <w:marTop w:val="0"/>
          <w:marBottom w:val="0"/>
          <w:divBdr>
            <w:top w:val="none" w:sz="0" w:space="0" w:color="auto"/>
            <w:left w:val="none" w:sz="0" w:space="0" w:color="auto"/>
            <w:bottom w:val="none" w:sz="0" w:space="0" w:color="auto"/>
            <w:right w:val="none" w:sz="0" w:space="0" w:color="auto"/>
          </w:divBdr>
        </w:div>
        <w:div w:id="104925739">
          <w:marLeft w:val="0"/>
          <w:marRight w:val="0"/>
          <w:marTop w:val="0"/>
          <w:marBottom w:val="0"/>
          <w:divBdr>
            <w:top w:val="none" w:sz="0" w:space="0" w:color="auto"/>
            <w:left w:val="none" w:sz="0" w:space="0" w:color="auto"/>
            <w:bottom w:val="none" w:sz="0" w:space="0" w:color="auto"/>
            <w:right w:val="none" w:sz="0" w:space="0" w:color="auto"/>
          </w:divBdr>
        </w:div>
        <w:div w:id="323777564">
          <w:marLeft w:val="0"/>
          <w:marRight w:val="0"/>
          <w:marTop w:val="0"/>
          <w:marBottom w:val="0"/>
          <w:divBdr>
            <w:top w:val="none" w:sz="0" w:space="0" w:color="auto"/>
            <w:left w:val="none" w:sz="0" w:space="0" w:color="auto"/>
            <w:bottom w:val="none" w:sz="0" w:space="0" w:color="auto"/>
            <w:right w:val="none" w:sz="0" w:space="0" w:color="auto"/>
          </w:divBdr>
        </w:div>
        <w:div w:id="1972204884">
          <w:marLeft w:val="0"/>
          <w:marRight w:val="0"/>
          <w:marTop w:val="0"/>
          <w:marBottom w:val="0"/>
          <w:divBdr>
            <w:top w:val="none" w:sz="0" w:space="0" w:color="auto"/>
            <w:left w:val="none" w:sz="0" w:space="0" w:color="auto"/>
            <w:bottom w:val="none" w:sz="0" w:space="0" w:color="auto"/>
            <w:right w:val="none" w:sz="0" w:space="0" w:color="auto"/>
          </w:divBdr>
        </w:div>
        <w:div w:id="1371538574">
          <w:marLeft w:val="0"/>
          <w:marRight w:val="0"/>
          <w:marTop w:val="0"/>
          <w:marBottom w:val="0"/>
          <w:divBdr>
            <w:top w:val="none" w:sz="0" w:space="0" w:color="auto"/>
            <w:left w:val="none" w:sz="0" w:space="0" w:color="auto"/>
            <w:bottom w:val="none" w:sz="0" w:space="0" w:color="auto"/>
            <w:right w:val="none" w:sz="0" w:space="0" w:color="auto"/>
          </w:divBdr>
        </w:div>
        <w:div w:id="989597814">
          <w:marLeft w:val="0"/>
          <w:marRight w:val="0"/>
          <w:marTop w:val="0"/>
          <w:marBottom w:val="0"/>
          <w:divBdr>
            <w:top w:val="none" w:sz="0" w:space="0" w:color="auto"/>
            <w:left w:val="none" w:sz="0" w:space="0" w:color="auto"/>
            <w:bottom w:val="none" w:sz="0" w:space="0" w:color="auto"/>
            <w:right w:val="none" w:sz="0" w:space="0" w:color="auto"/>
          </w:divBdr>
        </w:div>
        <w:div w:id="32734975">
          <w:marLeft w:val="0"/>
          <w:marRight w:val="0"/>
          <w:marTop w:val="0"/>
          <w:marBottom w:val="0"/>
          <w:divBdr>
            <w:top w:val="none" w:sz="0" w:space="0" w:color="auto"/>
            <w:left w:val="none" w:sz="0" w:space="0" w:color="auto"/>
            <w:bottom w:val="none" w:sz="0" w:space="0" w:color="auto"/>
            <w:right w:val="none" w:sz="0" w:space="0" w:color="auto"/>
          </w:divBdr>
        </w:div>
        <w:div w:id="819081100">
          <w:marLeft w:val="0"/>
          <w:marRight w:val="0"/>
          <w:marTop w:val="0"/>
          <w:marBottom w:val="0"/>
          <w:divBdr>
            <w:top w:val="none" w:sz="0" w:space="0" w:color="auto"/>
            <w:left w:val="none" w:sz="0" w:space="0" w:color="auto"/>
            <w:bottom w:val="none" w:sz="0" w:space="0" w:color="auto"/>
            <w:right w:val="none" w:sz="0" w:space="0" w:color="auto"/>
          </w:divBdr>
        </w:div>
        <w:div w:id="708648091">
          <w:marLeft w:val="0"/>
          <w:marRight w:val="0"/>
          <w:marTop w:val="0"/>
          <w:marBottom w:val="0"/>
          <w:divBdr>
            <w:top w:val="none" w:sz="0" w:space="0" w:color="auto"/>
            <w:left w:val="none" w:sz="0" w:space="0" w:color="auto"/>
            <w:bottom w:val="none" w:sz="0" w:space="0" w:color="auto"/>
            <w:right w:val="none" w:sz="0" w:space="0" w:color="auto"/>
          </w:divBdr>
        </w:div>
        <w:div w:id="1795054564">
          <w:marLeft w:val="0"/>
          <w:marRight w:val="0"/>
          <w:marTop w:val="0"/>
          <w:marBottom w:val="0"/>
          <w:divBdr>
            <w:top w:val="none" w:sz="0" w:space="0" w:color="auto"/>
            <w:left w:val="none" w:sz="0" w:space="0" w:color="auto"/>
            <w:bottom w:val="none" w:sz="0" w:space="0" w:color="auto"/>
            <w:right w:val="none" w:sz="0" w:space="0" w:color="auto"/>
          </w:divBdr>
        </w:div>
        <w:div w:id="1547526788">
          <w:marLeft w:val="0"/>
          <w:marRight w:val="0"/>
          <w:marTop w:val="0"/>
          <w:marBottom w:val="0"/>
          <w:divBdr>
            <w:top w:val="none" w:sz="0" w:space="0" w:color="auto"/>
            <w:left w:val="none" w:sz="0" w:space="0" w:color="auto"/>
            <w:bottom w:val="none" w:sz="0" w:space="0" w:color="auto"/>
            <w:right w:val="none" w:sz="0" w:space="0" w:color="auto"/>
          </w:divBdr>
        </w:div>
        <w:div w:id="335501267">
          <w:marLeft w:val="0"/>
          <w:marRight w:val="0"/>
          <w:marTop w:val="0"/>
          <w:marBottom w:val="0"/>
          <w:divBdr>
            <w:top w:val="none" w:sz="0" w:space="0" w:color="auto"/>
            <w:left w:val="none" w:sz="0" w:space="0" w:color="auto"/>
            <w:bottom w:val="none" w:sz="0" w:space="0" w:color="auto"/>
            <w:right w:val="none" w:sz="0" w:space="0" w:color="auto"/>
          </w:divBdr>
        </w:div>
        <w:div w:id="1423336332">
          <w:marLeft w:val="0"/>
          <w:marRight w:val="0"/>
          <w:marTop w:val="0"/>
          <w:marBottom w:val="0"/>
          <w:divBdr>
            <w:top w:val="none" w:sz="0" w:space="0" w:color="auto"/>
            <w:left w:val="none" w:sz="0" w:space="0" w:color="auto"/>
            <w:bottom w:val="none" w:sz="0" w:space="0" w:color="auto"/>
            <w:right w:val="none" w:sz="0" w:space="0" w:color="auto"/>
          </w:divBdr>
        </w:div>
        <w:div w:id="471170526">
          <w:marLeft w:val="0"/>
          <w:marRight w:val="0"/>
          <w:marTop w:val="0"/>
          <w:marBottom w:val="0"/>
          <w:divBdr>
            <w:top w:val="none" w:sz="0" w:space="0" w:color="auto"/>
            <w:left w:val="none" w:sz="0" w:space="0" w:color="auto"/>
            <w:bottom w:val="none" w:sz="0" w:space="0" w:color="auto"/>
            <w:right w:val="none" w:sz="0" w:space="0" w:color="auto"/>
          </w:divBdr>
        </w:div>
        <w:div w:id="1588883183">
          <w:marLeft w:val="0"/>
          <w:marRight w:val="0"/>
          <w:marTop w:val="0"/>
          <w:marBottom w:val="0"/>
          <w:divBdr>
            <w:top w:val="none" w:sz="0" w:space="0" w:color="auto"/>
            <w:left w:val="none" w:sz="0" w:space="0" w:color="auto"/>
            <w:bottom w:val="none" w:sz="0" w:space="0" w:color="auto"/>
            <w:right w:val="none" w:sz="0" w:space="0" w:color="auto"/>
          </w:divBdr>
        </w:div>
        <w:div w:id="1622614191">
          <w:marLeft w:val="0"/>
          <w:marRight w:val="0"/>
          <w:marTop w:val="0"/>
          <w:marBottom w:val="0"/>
          <w:divBdr>
            <w:top w:val="none" w:sz="0" w:space="0" w:color="auto"/>
            <w:left w:val="none" w:sz="0" w:space="0" w:color="auto"/>
            <w:bottom w:val="none" w:sz="0" w:space="0" w:color="auto"/>
            <w:right w:val="none" w:sz="0" w:space="0" w:color="auto"/>
          </w:divBdr>
        </w:div>
        <w:div w:id="1980525620">
          <w:marLeft w:val="0"/>
          <w:marRight w:val="0"/>
          <w:marTop w:val="0"/>
          <w:marBottom w:val="0"/>
          <w:divBdr>
            <w:top w:val="none" w:sz="0" w:space="0" w:color="auto"/>
            <w:left w:val="none" w:sz="0" w:space="0" w:color="auto"/>
            <w:bottom w:val="none" w:sz="0" w:space="0" w:color="auto"/>
            <w:right w:val="none" w:sz="0" w:space="0" w:color="auto"/>
          </w:divBdr>
        </w:div>
        <w:div w:id="1039354586">
          <w:marLeft w:val="0"/>
          <w:marRight w:val="0"/>
          <w:marTop w:val="0"/>
          <w:marBottom w:val="0"/>
          <w:divBdr>
            <w:top w:val="none" w:sz="0" w:space="0" w:color="auto"/>
            <w:left w:val="none" w:sz="0" w:space="0" w:color="auto"/>
            <w:bottom w:val="none" w:sz="0" w:space="0" w:color="auto"/>
            <w:right w:val="none" w:sz="0" w:space="0" w:color="auto"/>
          </w:divBdr>
        </w:div>
        <w:div w:id="477890852">
          <w:marLeft w:val="0"/>
          <w:marRight w:val="0"/>
          <w:marTop w:val="0"/>
          <w:marBottom w:val="0"/>
          <w:divBdr>
            <w:top w:val="none" w:sz="0" w:space="0" w:color="auto"/>
            <w:left w:val="none" w:sz="0" w:space="0" w:color="auto"/>
            <w:bottom w:val="none" w:sz="0" w:space="0" w:color="auto"/>
            <w:right w:val="none" w:sz="0" w:space="0" w:color="auto"/>
          </w:divBdr>
        </w:div>
        <w:div w:id="795029429">
          <w:marLeft w:val="0"/>
          <w:marRight w:val="0"/>
          <w:marTop w:val="0"/>
          <w:marBottom w:val="0"/>
          <w:divBdr>
            <w:top w:val="none" w:sz="0" w:space="0" w:color="auto"/>
            <w:left w:val="none" w:sz="0" w:space="0" w:color="auto"/>
            <w:bottom w:val="none" w:sz="0" w:space="0" w:color="auto"/>
            <w:right w:val="none" w:sz="0" w:space="0" w:color="auto"/>
          </w:divBdr>
        </w:div>
        <w:div w:id="1409646217">
          <w:marLeft w:val="0"/>
          <w:marRight w:val="0"/>
          <w:marTop w:val="0"/>
          <w:marBottom w:val="0"/>
          <w:divBdr>
            <w:top w:val="none" w:sz="0" w:space="0" w:color="auto"/>
            <w:left w:val="none" w:sz="0" w:space="0" w:color="auto"/>
            <w:bottom w:val="none" w:sz="0" w:space="0" w:color="auto"/>
            <w:right w:val="none" w:sz="0" w:space="0" w:color="auto"/>
          </w:divBdr>
        </w:div>
        <w:div w:id="2083214843">
          <w:marLeft w:val="0"/>
          <w:marRight w:val="0"/>
          <w:marTop w:val="0"/>
          <w:marBottom w:val="0"/>
          <w:divBdr>
            <w:top w:val="none" w:sz="0" w:space="0" w:color="auto"/>
            <w:left w:val="none" w:sz="0" w:space="0" w:color="auto"/>
            <w:bottom w:val="none" w:sz="0" w:space="0" w:color="auto"/>
            <w:right w:val="none" w:sz="0" w:space="0" w:color="auto"/>
          </w:divBdr>
        </w:div>
        <w:div w:id="503596717">
          <w:marLeft w:val="0"/>
          <w:marRight w:val="0"/>
          <w:marTop w:val="0"/>
          <w:marBottom w:val="0"/>
          <w:divBdr>
            <w:top w:val="none" w:sz="0" w:space="0" w:color="auto"/>
            <w:left w:val="none" w:sz="0" w:space="0" w:color="auto"/>
            <w:bottom w:val="none" w:sz="0" w:space="0" w:color="auto"/>
            <w:right w:val="none" w:sz="0" w:space="0" w:color="auto"/>
          </w:divBdr>
        </w:div>
        <w:div w:id="1821798967">
          <w:marLeft w:val="0"/>
          <w:marRight w:val="0"/>
          <w:marTop w:val="0"/>
          <w:marBottom w:val="0"/>
          <w:divBdr>
            <w:top w:val="none" w:sz="0" w:space="0" w:color="auto"/>
            <w:left w:val="none" w:sz="0" w:space="0" w:color="auto"/>
            <w:bottom w:val="none" w:sz="0" w:space="0" w:color="auto"/>
            <w:right w:val="none" w:sz="0" w:space="0" w:color="auto"/>
          </w:divBdr>
        </w:div>
        <w:div w:id="1392147044">
          <w:marLeft w:val="0"/>
          <w:marRight w:val="0"/>
          <w:marTop w:val="0"/>
          <w:marBottom w:val="0"/>
          <w:divBdr>
            <w:top w:val="none" w:sz="0" w:space="0" w:color="auto"/>
            <w:left w:val="none" w:sz="0" w:space="0" w:color="auto"/>
            <w:bottom w:val="none" w:sz="0" w:space="0" w:color="auto"/>
            <w:right w:val="none" w:sz="0" w:space="0" w:color="auto"/>
          </w:divBdr>
        </w:div>
        <w:div w:id="1753235358">
          <w:marLeft w:val="0"/>
          <w:marRight w:val="0"/>
          <w:marTop w:val="0"/>
          <w:marBottom w:val="0"/>
          <w:divBdr>
            <w:top w:val="none" w:sz="0" w:space="0" w:color="auto"/>
            <w:left w:val="none" w:sz="0" w:space="0" w:color="auto"/>
            <w:bottom w:val="none" w:sz="0" w:space="0" w:color="auto"/>
            <w:right w:val="none" w:sz="0" w:space="0" w:color="auto"/>
          </w:divBdr>
        </w:div>
        <w:div w:id="898979409">
          <w:marLeft w:val="0"/>
          <w:marRight w:val="0"/>
          <w:marTop w:val="0"/>
          <w:marBottom w:val="0"/>
          <w:divBdr>
            <w:top w:val="none" w:sz="0" w:space="0" w:color="auto"/>
            <w:left w:val="none" w:sz="0" w:space="0" w:color="auto"/>
            <w:bottom w:val="none" w:sz="0" w:space="0" w:color="auto"/>
            <w:right w:val="none" w:sz="0" w:space="0" w:color="auto"/>
          </w:divBdr>
        </w:div>
        <w:div w:id="1953318853">
          <w:marLeft w:val="0"/>
          <w:marRight w:val="0"/>
          <w:marTop w:val="0"/>
          <w:marBottom w:val="0"/>
          <w:divBdr>
            <w:top w:val="none" w:sz="0" w:space="0" w:color="auto"/>
            <w:left w:val="none" w:sz="0" w:space="0" w:color="auto"/>
            <w:bottom w:val="none" w:sz="0" w:space="0" w:color="auto"/>
            <w:right w:val="none" w:sz="0" w:space="0" w:color="auto"/>
          </w:divBdr>
        </w:div>
        <w:div w:id="2104184467">
          <w:marLeft w:val="0"/>
          <w:marRight w:val="0"/>
          <w:marTop w:val="0"/>
          <w:marBottom w:val="0"/>
          <w:divBdr>
            <w:top w:val="none" w:sz="0" w:space="0" w:color="auto"/>
            <w:left w:val="none" w:sz="0" w:space="0" w:color="auto"/>
            <w:bottom w:val="none" w:sz="0" w:space="0" w:color="auto"/>
            <w:right w:val="none" w:sz="0" w:space="0" w:color="auto"/>
          </w:divBdr>
        </w:div>
        <w:div w:id="1891110680">
          <w:marLeft w:val="0"/>
          <w:marRight w:val="0"/>
          <w:marTop w:val="0"/>
          <w:marBottom w:val="0"/>
          <w:divBdr>
            <w:top w:val="none" w:sz="0" w:space="0" w:color="auto"/>
            <w:left w:val="none" w:sz="0" w:space="0" w:color="auto"/>
            <w:bottom w:val="none" w:sz="0" w:space="0" w:color="auto"/>
            <w:right w:val="none" w:sz="0" w:space="0" w:color="auto"/>
          </w:divBdr>
        </w:div>
        <w:div w:id="84225926">
          <w:marLeft w:val="0"/>
          <w:marRight w:val="0"/>
          <w:marTop w:val="0"/>
          <w:marBottom w:val="0"/>
          <w:divBdr>
            <w:top w:val="none" w:sz="0" w:space="0" w:color="auto"/>
            <w:left w:val="none" w:sz="0" w:space="0" w:color="auto"/>
            <w:bottom w:val="none" w:sz="0" w:space="0" w:color="auto"/>
            <w:right w:val="none" w:sz="0" w:space="0" w:color="auto"/>
          </w:divBdr>
        </w:div>
        <w:div w:id="1150362022">
          <w:marLeft w:val="0"/>
          <w:marRight w:val="0"/>
          <w:marTop w:val="0"/>
          <w:marBottom w:val="0"/>
          <w:divBdr>
            <w:top w:val="none" w:sz="0" w:space="0" w:color="auto"/>
            <w:left w:val="none" w:sz="0" w:space="0" w:color="auto"/>
            <w:bottom w:val="none" w:sz="0" w:space="0" w:color="auto"/>
            <w:right w:val="none" w:sz="0" w:space="0" w:color="auto"/>
          </w:divBdr>
        </w:div>
        <w:div w:id="2063408857">
          <w:marLeft w:val="0"/>
          <w:marRight w:val="0"/>
          <w:marTop w:val="0"/>
          <w:marBottom w:val="0"/>
          <w:divBdr>
            <w:top w:val="none" w:sz="0" w:space="0" w:color="auto"/>
            <w:left w:val="none" w:sz="0" w:space="0" w:color="auto"/>
            <w:bottom w:val="none" w:sz="0" w:space="0" w:color="auto"/>
            <w:right w:val="none" w:sz="0" w:space="0" w:color="auto"/>
          </w:divBdr>
        </w:div>
        <w:div w:id="1961565475">
          <w:marLeft w:val="0"/>
          <w:marRight w:val="0"/>
          <w:marTop w:val="0"/>
          <w:marBottom w:val="0"/>
          <w:divBdr>
            <w:top w:val="none" w:sz="0" w:space="0" w:color="auto"/>
            <w:left w:val="none" w:sz="0" w:space="0" w:color="auto"/>
            <w:bottom w:val="none" w:sz="0" w:space="0" w:color="auto"/>
            <w:right w:val="none" w:sz="0" w:space="0" w:color="auto"/>
          </w:divBdr>
        </w:div>
        <w:div w:id="1733381547">
          <w:marLeft w:val="0"/>
          <w:marRight w:val="0"/>
          <w:marTop w:val="0"/>
          <w:marBottom w:val="0"/>
          <w:divBdr>
            <w:top w:val="none" w:sz="0" w:space="0" w:color="auto"/>
            <w:left w:val="none" w:sz="0" w:space="0" w:color="auto"/>
            <w:bottom w:val="none" w:sz="0" w:space="0" w:color="auto"/>
            <w:right w:val="none" w:sz="0" w:space="0" w:color="auto"/>
          </w:divBdr>
        </w:div>
        <w:div w:id="1004043639">
          <w:marLeft w:val="0"/>
          <w:marRight w:val="0"/>
          <w:marTop w:val="0"/>
          <w:marBottom w:val="0"/>
          <w:divBdr>
            <w:top w:val="none" w:sz="0" w:space="0" w:color="auto"/>
            <w:left w:val="none" w:sz="0" w:space="0" w:color="auto"/>
            <w:bottom w:val="none" w:sz="0" w:space="0" w:color="auto"/>
            <w:right w:val="none" w:sz="0" w:space="0" w:color="auto"/>
          </w:divBdr>
        </w:div>
        <w:div w:id="1861891803">
          <w:marLeft w:val="0"/>
          <w:marRight w:val="0"/>
          <w:marTop w:val="0"/>
          <w:marBottom w:val="0"/>
          <w:divBdr>
            <w:top w:val="none" w:sz="0" w:space="0" w:color="auto"/>
            <w:left w:val="none" w:sz="0" w:space="0" w:color="auto"/>
            <w:bottom w:val="none" w:sz="0" w:space="0" w:color="auto"/>
            <w:right w:val="none" w:sz="0" w:space="0" w:color="auto"/>
          </w:divBdr>
        </w:div>
        <w:div w:id="62994200">
          <w:marLeft w:val="0"/>
          <w:marRight w:val="0"/>
          <w:marTop w:val="0"/>
          <w:marBottom w:val="0"/>
          <w:divBdr>
            <w:top w:val="none" w:sz="0" w:space="0" w:color="auto"/>
            <w:left w:val="none" w:sz="0" w:space="0" w:color="auto"/>
            <w:bottom w:val="none" w:sz="0" w:space="0" w:color="auto"/>
            <w:right w:val="none" w:sz="0" w:space="0" w:color="auto"/>
          </w:divBdr>
        </w:div>
        <w:div w:id="857356056">
          <w:marLeft w:val="0"/>
          <w:marRight w:val="0"/>
          <w:marTop w:val="0"/>
          <w:marBottom w:val="0"/>
          <w:divBdr>
            <w:top w:val="none" w:sz="0" w:space="0" w:color="auto"/>
            <w:left w:val="none" w:sz="0" w:space="0" w:color="auto"/>
            <w:bottom w:val="none" w:sz="0" w:space="0" w:color="auto"/>
            <w:right w:val="none" w:sz="0" w:space="0" w:color="auto"/>
          </w:divBdr>
        </w:div>
        <w:div w:id="522479388">
          <w:marLeft w:val="0"/>
          <w:marRight w:val="0"/>
          <w:marTop w:val="0"/>
          <w:marBottom w:val="0"/>
          <w:divBdr>
            <w:top w:val="none" w:sz="0" w:space="0" w:color="auto"/>
            <w:left w:val="none" w:sz="0" w:space="0" w:color="auto"/>
            <w:bottom w:val="none" w:sz="0" w:space="0" w:color="auto"/>
            <w:right w:val="none" w:sz="0" w:space="0" w:color="auto"/>
          </w:divBdr>
        </w:div>
        <w:div w:id="1394542913">
          <w:marLeft w:val="0"/>
          <w:marRight w:val="0"/>
          <w:marTop w:val="0"/>
          <w:marBottom w:val="0"/>
          <w:divBdr>
            <w:top w:val="none" w:sz="0" w:space="0" w:color="auto"/>
            <w:left w:val="none" w:sz="0" w:space="0" w:color="auto"/>
            <w:bottom w:val="none" w:sz="0" w:space="0" w:color="auto"/>
            <w:right w:val="none" w:sz="0" w:space="0" w:color="auto"/>
          </w:divBdr>
        </w:div>
        <w:div w:id="260915332">
          <w:marLeft w:val="0"/>
          <w:marRight w:val="0"/>
          <w:marTop w:val="0"/>
          <w:marBottom w:val="0"/>
          <w:divBdr>
            <w:top w:val="none" w:sz="0" w:space="0" w:color="auto"/>
            <w:left w:val="none" w:sz="0" w:space="0" w:color="auto"/>
            <w:bottom w:val="none" w:sz="0" w:space="0" w:color="auto"/>
            <w:right w:val="none" w:sz="0" w:space="0" w:color="auto"/>
          </w:divBdr>
        </w:div>
        <w:div w:id="817764912">
          <w:marLeft w:val="0"/>
          <w:marRight w:val="0"/>
          <w:marTop w:val="0"/>
          <w:marBottom w:val="0"/>
          <w:divBdr>
            <w:top w:val="none" w:sz="0" w:space="0" w:color="auto"/>
            <w:left w:val="none" w:sz="0" w:space="0" w:color="auto"/>
            <w:bottom w:val="none" w:sz="0" w:space="0" w:color="auto"/>
            <w:right w:val="none" w:sz="0" w:space="0" w:color="auto"/>
          </w:divBdr>
        </w:div>
        <w:div w:id="753933894">
          <w:marLeft w:val="0"/>
          <w:marRight w:val="0"/>
          <w:marTop w:val="0"/>
          <w:marBottom w:val="0"/>
          <w:divBdr>
            <w:top w:val="none" w:sz="0" w:space="0" w:color="auto"/>
            <w:left w:val="none" w:sz="0" w:space="0" w:color="auto"/>
            <w:bottom w:val="none" w:sz="0" w:space="0" w:color="auto"/>
            <w:right w:val="none" w:sz="0" w:space="0" w:color="auto"/>
          </w:divBdr>
        </w:div>
        <w:div w:id="1985771490">
          <w:marLeft w:val="0"/>
          <w:marRight w:val="0"/>
          <w:marTop w:val="0"/>
          <w:marBottom w:val="0"/>
          <w:divBdr>
            <w:top w:val="none" w:sz="0" w:space="0" w:color="auto"/>
            <w:left w:val="none" w:sz="0" w:space="0" w:color="auto"/>
            <w:bottom w:val="none" w:sz="0" w:space="0" w:color="auto"/>
            <w:right w:val="none" w:sz="0" w:space="0" w:color="auto"/>
          </w:divBdr>
        </w:div>
        <w:div w:id="1070691229">
          <w:marLeft w:val="0"/>
          <w:marRight w:val="0"/>
          <w:marTop w:val="0"/>
          <w:marBottom w:val="0"/>
          <w:divBdr>
            <w:top w:val="none" w:sz="0" w:space="0" w:color="auto"/>
            <w:left w:val="none" w:sz="0" w:space="0" w:color="auto"/>
            <w:bottom w:val="none" w:sz="0" w:space="0" w:color="auto"/>
            <w:right w:val="none" w:sz="0" w:space="0" w:color="auto"/>
          </w:divBdr>
        </w:div>
        <w:div w:id="58209329">
          <w:marLeft w:val="0"/>
          <w:marRight w:val="0"/>
          <w:marTop w:val="0"/>
          <w:marBottom w:val="0"/>
          <w:divBdr>
            <w:top w:val="none" w:sz="0" w:space="0" w:color="auto"/>
            <w:left w:val="none" w:sz="0" w:space="0" w:color="auto"/>
            <w:bottom w:val="none" w:sz="0" w:space="0" w:color="auto"/>
            <w:right w:val="none" w:sz="0" w:space="0" w:color="auto"/>
          </w:divBdr>
        </w:div>
        <w:div w:id="1180973209">
          <w:marLeft w:val="0"/>
          <w:marRight w:val="0"/>
          <w:marTop w:val="0"/>
          <w:marBottom w:val="0"/>
          <w:divBdr>
            <w:top w:val="none" w:sz="0" w:space="0" w:color="auto"/>
            <w:left w:val="none" w:sz="0" w:space="0" w:color="auto"/>
            <w:bottom w:val="none" w:sz="0" w:space="0" w:color="auto"/>
            <w:right w:val="none" w:sz="0" w:space="0" w:color="auto"/>
          </w:divBdr>
        </w:div>
        <w:div w:id="1639064565">
          <w:marLeft w:val="0"/>
          <w:marRight w:val="0"/>
          <w:marTop w:val="0"/>
          <w:marBottom w:val="0"/>
          <w:divBdr>
            <w:top w:val="none" w:sz="0" w:space="0" w:color="auto"/>
            <w:left w:val="none" w:sz="0" w:space="0" w:color="auto"/>
            <w:bottom w:val="none" w:sz="0" w:space="0" w:color="auto"/>
            <w:right w:val="none" w:sz="0" w:space="0" w:color="auto"/>
          </w:divBdr>
        </w:div>
        <w:div w:id="62800322">
          <w:marLeft w:val="0"/>
          <w:marRight w:val="0"/>
          <w:marTop w:val="0"/>
          <w:marBottom w:val="0"/>
          <w:divBdr>
            <w:top w:val="none" w:sz="0" w:space="0" w:color="auto"/>
            <w:left w:val="none" w:sz="0" w:space="0" w:color="auto"/>
            <w:bottom w:val="none" w:sz="0" w:space="0" w:color="auto"/>
            <w:right w:val="none" w:sz="0" w:space="0" w:color="auto"/>
          </w:divBdr>
        </w:div>
        <w:div w:id="1135101956">
          <w:marLeft w:val="0"/>
          <w:marRight w:val="0"/>
          <w:marTop w:val="0"/>
          <w:marBottom w:val="0"/>
          <w:divBdr>
            <w:top w:val="none" w:sz="0" w:space="0" w:color="auto"/>
            <w:left w:val="none" w:sz="0" w:space="0" w:color="auto"/>
            <w:bottom w:val="none" w:sz="0" w:space="0" w:color="auto"/>
            <w:right w:val="none" w:sz="0" w:space="0" w:color="auto"/>
          </w:divBdr>
        </w:div>
        <w:div w:id="1823496871">
          <w:marLeft w:val="0"/>
          <w:marRight w:val="0"/>
          <w:marTop w:val="0"/>
          <w:marBottom w:val="0"/>
          <w:divBdr>
            <w:top w:val="none" w:sz="0" w:space="0" w:color="auto"/>
            <w:left w:val="none" w:sz="0" w:space="0" w:color="auto"/>
            <w:bottom w:val="none" w:sz="0" w:space="0" w:color="auto"/>
            <w:right w:val="none" w:sz="0" w:space="0" w:color="auto"/>
          </w:divBdr>
        </w:div>
        <w:div w:id="1780762089">
          <w:marLeft w:val="0"/>
          <w:marRight w:val="0"/>
          <w:marTop w:val="0"/>
          <w:marBottom w:val="0"/>
          <w:divBdr>
            <w:top w:val="none" w:sz="0" w:space="0" w:color="auto"/>
            <w:left w:val="none" w:sz="0" w:space="0" w:color="auto"/>
            <w:bottom w:val="none" w:sz="0" w:space="0" w:color="auto"/>
            <w:right w:val="none" w:sz="0" w:space="0" w:color="auto"/>
          </w:divBdr>
        </w:div>
        <w:div w:id="606086985">
          <w:marLeft w:val="0"/>
          <w:marRight w:val="0"/>
          <w:marTop w:val="0"/>
          <w:marBottom w:val="0"/>
          <w:divBdr>
            <w:top w:val="none" w:sz="0" w:space="0" w:color="auto"/>
            <w:left w:val="none" w:sz="0" w:space="0" w:color="auto"/>
            <w:bottom w:val="none" w:sz="0" w:space="0" w:color="auto"/>
            <w:right w:val="none" w:sz="0" w:space="0" w:color="auto"/>
          </w:divBdr>
        </w:div>
        <w:div w:id="519054766">
          <w:marLeft w:val="0"/>
          <w:marRight w:val="0"/>
          <w:marTop w:val="0"/>
          <w:marBottom w:val="0"/>
          <w:divBdr>
            <w:top w:val="none" w:sz="0" w:space="0" w:color="auto"/>
            <w:left w:val="none" w:sz="0" w:space="0" w:color="auto"/>
            <w:bottom w:val="none" w:sz="0" w:space="0" w:color="auto"/>
            <w:right w:val="none" w:sz="0" w:space="0" w:color="auto"/>
          </w:divBdr>
        </w:div>
      </w:divsChild>
    </w:div>
    <w:div w:id="110362992">
      <w:bodyDiv w:val="1"/>
      <w:marLeft w:val="0"/>
      <w:marRight w:val="0"/>
      <w:marTop w:val="0"/>
      <w:marBottom w:val="0"/>
      <w:divBdr>
        <w:top w:val="none" w:sz="0" w:space="0" w:color="auto"/>
        <w:left w:val="none" w:sz="0" w:space="0" w:color="auto"/>
        <w:bottom w:val="none" w:sz="0" w:space="0" w:color="auto"/>
        <w:right w:val="none" w:sz="0" w:space="0" w:color="auto"/>
      </w:divBdr>
    </w:div>
    <w:div w:id="122894028">
      <w:bodyDiv w:val="1"/>
      <w:marLeft w:val="0"/>
      <w:marRight w:val="0"/>
      <w:marTop w:val="0"/>
      <w:marBottom w:val="0"/>
      <w:divBdr>
        <w:top w:val="none" w:sz="0" w:space="0" w:color="auto"/>
        <w:left w:val="none" w:sz="0" w:space="0" w:color="auto"/>
        <w:bottom w:val="none" w:sz="0" w:space="0" w:color="auto"/>
        <w:right w:val="none" w:sz="0" w:space="0" w:color="auto"/>
      </w:divBdr>
    </w:div>
    <w:div w:id="131488383">
      <w:bodyDiv w:val="1"/>
      <w:marLeft w:val="0"/>
      <w:marRight w:val="0"/>
      <w:marTop w:val="0"/>
      <w:marBottom w:val="0"/>
      <w:divBdr>
        <w:top w:val="none" w:sz="0" w:space="0" w:color="auto"/>
        <w:left w:val="none" w:sz="0" w:space="0" w:color="auto"/>
        <w:bottom w:val="none" w:sz="0" w:space="0" w:color="auto"/>
        <w:right w:val="none" w:sz="0" w:space="0" w:color="auto"/>
      </w:divBdr>
    </w:div>
    <w:div w:id="151336261">
      <w:bodyDiv w:val="1"/>
      <w:marLeft w:val="0"/>
      <w:marRight w:val="0"/>
      <w:marTop w:val="0"/>
      <w:marBottom w:val="0"/>
      <w:divBdr>
        <w:top w:val="none" w:sz="0" w:space="0" w:color="auto"/>
        <w:left w:val="none" w:sz="0" w:space="0" w:color="auto"/>
        <w:bottom w:val="none" w:sz="0" w:space="0" w:color="auto"/>
        <w:right w:val="none" w:sz="0" w:space="0" w:color="auto"/>
      </w:divBdr>
    </w:div>
    <w:div w:id="196509339">
      <w:bodyDiv w:val="1"/>
      <w:marLeft w:val="0"/>
      <w:marRight w:val="0"/>
      <w:marTop w:val="0"/>
      <w:marBottom w:val="0"/>
      <w:divBdr>
        <w:top w:val="none" w:sz="0" w:space="0" w:color="auto"/>
        <w:left w:val="none" w:sz="0" w:space="0" w:color="auto"/>
        <w:bottom w:val="none" w:sz="0" w:space="0" w:color="auto"/>
        <w:right w:val="none" w:sz="0" w:space="0" w:color="auto"/>
      </w:divBdr>
    </w:div>
    <w:div w:id="206066912">
      <w:bodyDiv w:val="1"/>
      <w:marLeft w:val="0"/>
      <w:marRight w:val="0"/>
      <w:marTop w:val="0"/>
      <w:marBottom w:val="0"/>
      <w:divBdr>
        <w:top w:val="none" w:sz="0" w:space="0" w:color="auto"/>
        <w:left w:val="none" w:sz="0" w:space="0" w:color="auto"/>
        <w:bottom w:val="none" w:sz="0" w:space="0" w:color="auto"/>
        <w:right w:val="none" w:sz="0" w:space="0" w:color="auto"/>
      </w:divBdr>
    </w:div>
    <w:div w:id="211775661">
      <w:bodyDiv w:val="1"/>
      <w:marLeft w:val="0"/>
      <w:marRight w:val="0"/>
      <w:marTop w:val="0"/>
      <w:marBottom w:val="0"/>
      <w:divBdr>
        <w:top w:val="none" w:sz="0" w:space="0" w:color="auto"/>
        <w:left w:val="none" w:sz="0" w:space="0" w:color="auto"/>
        <w:bottom w:val="none" w:sz="0" w:space="0" w:color="auto"/>
        <w:right w:val="none" w:sz="0" w:space="0" w:color="auto"/>
      </w:divBdr>
    </w:div>
    <w:div w:id="213201321">
      <w:bodyDiv w:val="1"/>
      <w:marLeft w:val="0"/>
      <w:marRight w:val="0"/>
      <w:marTop w:val="0"/>
      <w:marBottom w:val="0"/>
      <w:divBdr>
        <w:top w:val="none" w:sz="0" w:space="0" w:color="auto"/>
        <w:left w:val="none" w:sz="0" w:space="0" w:color="auto"/>
        <w:bottom w:val="none" w:sz="0" w:space="0" w:color="auto"/>
        <w:right w:val="none" w:sz="0" w:space="0" w:color="auto"/>
      </w:divBdr>
    </w:div>
    <w:div w:id="224413686">
      <w:bodyDiv w:val="1"/>
      <w:marLeft w:val="0"/>
      <w:marRight w:val="0"/>
      <w:marTop w:val="0"/>
      <w:marBottom w:val="0"/>
      <w:divBdr>
        <w:top w:val="none" w:sz="0" w:space="0" w:color="auto"/>
        <w:left w:val="none" w:sz="0" w:space="0" w:color="auto"/>
        <w:bottom w:val="none" w:sz="0" w:space="0" w:color="auto"/>
        <w:right w:val="none" w:sz="0" w:space="0" w:color="auto"/>
      </w:divBdr>
    </w:div>
    <w:div w:id="298650160">
      <w:bodyDiv w:val="1"/>
      <w:marLeft w:val="0"/>
      <w:marRight w:val="0"/>
      <w:marTop w:val="0"/>
      <w:marBottom w:val="0"/>
      <w:divBdr>
        <w:top w:val="none" w:sz="0" w:space="0" w:color="auto"/>
        <w:left w:val="none" w:sz="0" w:space="0" w:color="auto"/>
        <w:bottom w:val="none" w:sz="0" w:space="0" w:color="auto"/>
        <w:right w:val="none" w:sz="0" w:space="0" w:color="auto"/>
      </w:divBdr>
    </w:div>
    <w:div w:id="335815274">
      <w:bodyDiv w:val="1"/>
      <w:marLeft w:val="0"/>
      <w:marRight w:val="0"/>
      <w:marTop w:val="0"/>
      <w:marBottom w:val="0"/>
      <w:divBdr>
        <w:top w:val="none" w:sz="0" w:space="0" w:color="auto"/>
        <w:left w:val="none" w:sz="0" w:space="0" w:color="auto"/>
        <w:bottom w:val="none" w:sz="0" w:space="0" w:color="auto"/>
        <w:right w:val="none" w:sz="0" w:space="0" w:color="auto"/>
      </w:divBdr>
    </w:div>
    <w:div w:id="340742402">
      <w:bodyDiv w:val="1"/>
      <w:marLeft w:val="0"/>
      <w:marRight w:val="0"/>
      <w:marTop w:val="0"/>
      <w:marBottom w:val="0"/>
      <w:divBdr>
        <w:top w:val="none" w:sz="0" w:space="0" w:color="auto"/>
        <w:left w:val="none" w:sz="0" w:space="0" w:color="auto"/>
        <w:bottom w:val="none" w:sz="0" w:space="0" w:color="auto"/>
        <w:right w:val="none" w:sz="0" w:space="0" w:color="auto"/>
      </w:divBdr>
    </w:div>
    <w:div w:id="343825083">
      <w:bodyDiv w:val="1"/>
      <w:marLeft w:val="0"/>
      <w:marRight w:val="0"/>
      <w:marTop w:val="0"/>
      <w:marBottom w:val="0"/>
      <w:divBdr>
        <w:top w:val="none" w:sz="0" w:space="0" w:color="auto"/>
        <w:left w:val="none" w:sz="0" w:space="0" w:color="auto"/>
        <w:bottom w:val="none" w:sz="0" w:space="0" w:color="auto"/>
        <w:right w:val="none" w:sz="0" w:space="0" w:color="auto"/>
      </w:divBdr>
    </w:div>
    <w:div w:id="346755949">
      <w:bodyDiv w:val="1"/>
      <w:marLeft w:val="0"/>
      <w:marRight w:val="0"/>
      <w:marTop w:val="0"/>
      <w:marBottom w:val="0"/>
      <w:divBdr>
        <w:top w:val="none" w:sz="0" w:space="0" w:color="auto"/>
        <w:left w:val="none" w:sz="0" w:space="0" w:color="auto"/>
        <w:bottom w:val="none" w:sz="0" w:space="0" w:color="auto"/>
        <w:right w:val="none" w:sz="0" w:space="0" w:color="auto"/>
      </w:divBdr>
    </w:div>
    <w:div w:id="435638740">
      <w:bodyDiv w:val="1"/>
      <w:marLeft w:val="0"/>
      <w:marRight w:val="0"/>
      <w:marTop w:val="0"/>
      <w:marBottom w:val="0"/>
      <w:divBdr>
        <w:top w:val="none" w:sz="0" w:space="0" w:color="auto"/>
        <w:left w:val="none" w:sz="0" w:space="0" w:color="auto"/>
        <w:bottom w:val="none" w:sz="0" w:space="0" w:color="auto"/>
        <w:right w:val="none" w:sz="0" w:space="0" w:color="auto"/>
      </w:divBdr>
    </w:div>
    <w:div w:id="452987531">
      <w:bodyDiv w:val="1"/>
      <w:marLeft w:val="0"/>
      <w:marRight w:val="0"/>
      <w:marTop w:val="0"/>
      <w:marBottom w:val="0"/>
      <w:divBdr>
        <w:top w:val="none" w:sz="0" w:space="0" w:color="auto"/>
        <w:left w:val="none" w:sz="0" w:space="0" w:color="auto"/>
        <w:bottom w:val="none" w:sz="0" w:space="0" w:color="auto"/>
        <w:right w:val="none" w:sz="0" w:space="0" w:color="auto"/>
      </w:divBdr>
    </w:div>
    <w:div w:id="467670561">
      <w:bodyDiv w:val="1"/>
      <w:marLeft w:val="0"/>
      <w:marRight w:val="0"/>
      <w:marTop w:val="0"/>
      <w:marBottom w:val="0"/>
      <w:divBdr>
        <w:top w:val="none" w:sz="0" w:space="0" w:color="auto"/>
        <w:left w:val="none" w:sz="0" w:space="0" w:color="auto"/>
        <w:bottom w:val="none" w:sz="0" w:space="0" w:color="auto"/>
        <w:right w:val="none" w:sz="0" w:space="0" w:color="auto"/>
      </w:divBdr>
    </w:div>
    <w:div w:id="469592823">
      <w:bodyDiv w:val="1"/>
      <w:marLeft w:val="0"/>
      <w:marRight w:val="0"/>
      <w:marTop w:val="0"/>
      <w:marBottom w:val="0"/>
      <w:divBdr>
        <w:top w:val="none" w:sz="0" w:space="0" w:color="auto"/>
        <w:left w:val="none" w:sz="0" w:space="0" w:color="auto"/>
        <w:bottom w:val="none" w:sz="0" w:space="0" w:color="auto"/>
        <w:right w:val="none" w:sz="0" w:space="0" w:color="auto"/>
      </w:divBdr>
    </w:div>
    <w:div w:id="494688249">
      <w:bodyDiv w:val="1"/>
      <w:marLeft w:val="0"/>
      <w:marRight w:val="0"/>
      <w:marTop w:val="0"/>
      <w:marBottom w:val="0"/>
      <w:divBdr>
        <w:top w:val="none" w:sz="0" w:space="0" w:color="auto"/>
        <w:left w:val="none" w:sz="0" w:space="0" w:color="auto"/>
        <w:bottom w:val="none" w:sz="0" w:space="0" w:color="auto"/>
        <w:right w:val="none" w:sz="0" w:space="0" w:color="auto"/>
      </w:divBdr>
    </w:div>
    <w:div w:id="511840072">
      <w:bodyDiv w:val="1"/>
      <w:marLeft w:val="0"/>
      <w:marRight w:val="0"/>
      <w:marTop w:val="0"/>
      <w:marBottom w:val="0"/>
      <w:divBdr>
        <w:top w:val="none" w:sz="0" w:space="0" w:color="auto"/>
        <w:left w:val="none" w:sz="0" w:space="0" w:color="auto"/>
        <w:bottom w:val="none" w:sz="0" w:space="0" w:color="auto"/>
        <w:right w:val="none" w:sz="0" w:space="0" w:color="auto"/>
      </w:divBdr>
    </w:div>
    <w:div w:id="520972985">
      <w:bodyDiv w:val="1"/>
      <w:marLeft w:val="0"/>
      <w:marRight w:val="0"/>
      <w:marTop w:val="0"/>
      <w:marBottom w:val="0"/>
      <w:divBdr>
        <w:top w:val="none" w:sz="0" w:space="0" w:color="auto"/>
        <w:left w:val="none" w:sz="0" w:space="0" w:color="auto"/>
        <w:bottom w:val="none" w:sz="0" w:space="0" w:color="auto"/>
        <w:right w:val="none" w:sz="0" w:space="0" w:color="auto"/>
      </w:divBdr>
    </w:div>
    <w:div w:id="551625426">
      <w:bodyDiv w:val="1"/>
      <w:marLeft w:val="0"/>
      <w:marRight w:val="0"/>
      <w:marTop w:val="0"/>
      <w:marBottom w:val="0"/>
      <w:divBdr>
        <w:top w:val="none" w:sz="0" w:space="0" w:color="auto"/>
        <w:left w:val="none" w:sz="0" w:space="0" w:color="auto"/>
        <w:bottom w:val="none" w:sz="0" w:space="0" w:color="auto"/>
        <w:right w:val="none" w:sz="0" w:space="0" w:color="auto"/>
      </w:divBdr>
    </w:div>
    <w:div w:id="570388561">
      <w:bodyDiv w:val="1"/>
      <w:marLeft w:val="0"/>
      <w:marRight w:val="0"/>
      <w:marTop w:val="0"/>
      <w:marBottom w:val="0"/>
      <w:divBdr>
        <w:top w:val="none" w:sz="0" w:space="0" w:color="auto"/>
        <w:left w:val="none" w:sz="0" w:space="0" w:color="auto"/>
        <w:bottom w:val="none" w:sz="0" w:space="0" w:color="auto"/>
        <w:right w:val="none" w:sz="0" w:space="0" w:color="auto"/>
      </w:divBdr>
    </w:div>
    <w:div w:id="575285339">
      <w:bodyDiv w:val="1"/>
      <w:marLeft w:val="0"/>
      <w:marRight w:val="0"/>
      <w:marTop w:val="0"/>
      <w:marBottom w:val="0"/>
      <w:divBdr>
        <w:top w:val="none" w:sz="0" w:space="0" w:color="auto"/>
        <w:left w:val="none" w:sz="0" w:space="0" w:color="auto"/>
        <w:bottom w:val="none" w:sz="0" w:space="0" w:color="auto"/>
        <w:right w:val="none" w:sz="0" w:space="0" w:color="auto"/>
      </w:divBdr>
    </w:div>
    <w:div w:id="598565654">
      <w:bodyDiv w:val="1"/>
      <w:marLeft w:val="0"/>
      <w:marRight w:val="0"/>
      <w:marTop w:val="0"/>
      <w:marBottom w:val="0"/>
      <w:divBdr>
        <w:top w:val="none" w:sz="0" w:space="0" w:color="auto"/>
        <w:left w:val="none" w:sz="0" w:space="0" w:color="auto"/>
        <w:bottom w:val="none" w:sz="0" w:space="0" w:color="auto"/>
        <w:right w:val="none" w:sz="0" w:space="0" w:color="auto"/>
      </w:divBdr>
    </w:div>
    <w:div w:id="612638292">
      <w:bodyDiv w:val="1"/>
      <w:marLeft w:val="0"/>
      <w:marRight w:val="0"/>
      <w:marTop w:val="0"/>
      <w:marBottom w:val="0"/>
      <w:divBdr>
        <w:top w:val="none" w:sz="0" w:space="0" w:color="auto"/>
        <w:left w:val="none" w:sz="0" w:space="0" w:color="auto"/>
        <w:bottom w:val="none" w:sz="0" w:space="0" w:color="auto"/>
        <w:right w:val="none" w:sz="0" w:space="0" w:color="auto"/>
      </w:divBdr>
    </w:div>
    <w:div w:id="615991370">
      <w:bodyDiv w:val="1"/>
      <w:marLeft w:val="0"/>
      <w:marRight w:val="0"/>
      <w:marTop w:val="0"/>
      <w:marBottom w:val="0"/>
      <w:divBdr>
        <w:top w:val="none" w:sz="0" w:space="0" w:color="auto"/>
        <w:left w:val="none" w:sz="0" w:space="0" w:color="auto"/>
        <w:bottom w:val="none" w:sz="0" w:space="0" w:color="auto"/>
        <w:right w:val="none" w:sz="0" w:space="0" w:color="auto"/>
      </w:divBdr>
    </w:div>
    <w:div w:id="633751174">
      <w:bodyDiv w:val="1"/>
      <w:marLeft w:val="0"/>
      <w:marRight w:val="0"/>
      <w:marTop w:val="0"/>
      <w:marBottom w:val="0"/>
      <w:divBdr>
        <w:top w:val="none" w:sz="0" w:space="0" w:color="auto"/>
        <w:left w:val="none" w:sz="0" w:space="0" w:color="auto"/>
        <w:bottom w:val="none" w:sz="0" w:space="0" w:color="auto"/>
        <w:right w:val="none" w:sz="0" w:space="0" w:color="auto"/>
      </w:divBdr>
    </w:div>
    <w:div w:id="644510948">
      <w:bodyDiv w:val="1"/>
      <w:marLeft w:val="0"/>
      <w:marRight w:val="0"/>
      <w:marTop w:val="0"/>
      <w:marBottom w:val="0"/>
      <w:divBdr>
        <w:top w:val="none" w:sz="0" w:space="0" w:color="auto"/>
        <w:left w:val="none" w:sz="0" w:space="0" w:color="auto"/>
        <w:bottom w:val="none" w:sz="0" w:space="0" w:color="auto"/>
        <w:right w:val="none" w:sz="0" w:space="0" w:color="auto"/>
      </w:divBdr>
    </w:div>
    <w:div w:id="662659580">
      <w:bodyDiv w:val="1"/>
      <w:marLeft w:val="0"/>
      <w:marRight w:val="0"/>
      <w:marTop w:val="0"/>
      <w:marBottom w:val="0"/>
      <w:divBdr>
        <w:top w:val="none" w:sz="0" w:space="0" w:color="auto"/>
        <w:left w:val="none" w:sz="0" w:space="0" w:color="auto"/>
        <w:bottom w:val="none" w:sz="0" w:space="0" w:color="auto"/>
        <w:right w:val="none" w:sz="0" w:space="0" w:color="auto"/>
      </w:divBdr>
    </w:div>
    <w:div w:id="806357217">
      <w:bodyDiv w:val="1"/>
      <w:marLeft w:val="0"/>
      <w:marRight w:val="0"/>
      <w:marTop w:val="0"/>
      <w:marBottom w:val="0"/>
      <w:divBdr>
        <w:top w:val="none" w:sz="0" w:space="0" w:color="auto"/>
        <w:left w:val="none" w:sz="0" w:space="0" w:color="auto"/>
        <w:bottom w:val="none" w:sz="0" w:space="0" w:color="auto"/>
        <w:right w:val="none" w:sz="0" w:space="0" w:color="auto"/>
      </w:divBdr>
    </w:div>
    <w:div w:id="838739367">
      <w:bodyDiv w:val="1"/>
      <w:marLeft w:val="0"/>
      <w:marRight w:val="0"/>
      <w:marTop w:val="0"/>
      <w:marBottom w:val="0"/>
      <w:divBdr>
        <w:top w:val="none" w:sz="0" w:space="0" w:color="auto"/>
        <w:left w:val="none" w:sz="0" w:space="0" w:color="auto"/>
        <w:bottom w:val="none" w:sz="0" w:space="0" w:color="auto"/>
        <w:right w:val="none" w:sz="0" w:space="0" w:color="auto"/>
      </w:divBdr>
    </w:div>
    <w:div w:id="851601643">
      <w:bodyDiv w:val="1"/>
      <w:marLeft w:val="0"/>
      <w:marRight w:val="0"/>
      <w:marTop w:val="0"/>
      <w:marBottom w:val="0"/>
      <w:divBdr>
        <w:top w:val="none" w:sz="0" w:space="0" w:color="auto"/>
        <w:left w:val="none" w:sz="0" w:space="0" w:color="auto"/>
        <w:bottom w:val="none" w:sz="0" w:space="0" w:color="auto"/>
        <w:right w:val="none" w:sz="0" w:space="0" w:color="auto"/>
      </w:divBdr>
    </w:div>
    <w:div w:id="854151320">
      <w:bodyDiv w:val="1"/>
      <w:marLeft w:val="0"/>
      <w:marRight w:val="0"/>
      <w:marTop w:val="0"/>
      <w:marBottom w:val="0"/>
      <w:divBdr>
        <w:top w:val="none" w:sz="0" w:space="0" w:color="auto"/>
        <w:left w:val="none" w:sz="0" w:space="0" w:color="auto"/>
        <w:bottom w:val="none" w:sz="0" w:space="0" w:color="auto"/>
        <w:right w:val="none" w:sz="0" w:space="0" w:color="auto"/>
      </w:divBdr>
    </w:div>
    <w:div w:id="870611565">
      <w:bodyDiv w:val="1"/>
      <w:marLeft w:val="0"/>
      <w:marRight w:val="0"/>
      <w:marTop w:val="0"/>
      <w:marBottom w:val="0"/>
      <w:divBdr>
        <w:top w:val="none" w:sz="0" w:space="0" w:color="auto"/>
        <w:left w:val="none" w:sz="0" w:space="0" w:color="auto"/>
        <w:bottom w:val="none" w:sz="0" w:space="0" w:color="auto"/>
        <w:right w:val="none" w:sz="0" w:space="0" w:color="auto"/>
      </w:divBdr>
    </w:div>
    <w:div w:id="875432712">
      <w:bodyDiv w:val="1"/>
      <w:marLeft w:val="0"/>
      <w:marRight w:val="0"/>
      <w:marTop w:val="0"/>
      <w:marBottom w:val="0"/>
      <w:divBdr>
        <w:top w:val="none" w:sz="0" w:space="0" w:color="auto"/>
        <w:left w:val="none" w:sz="0" w:space="0" w:color="auto"/>
        <w:bottom w:val="none" w:sz="0" w:space="0" w:color="auto"/>
        <w:right w:val="none" w:sz="0" w:space="0" w:color="auto"/>
      </w:divBdr>
    </w:div>
    <w:div w:id="921139947">
      <w:bodyDiv w:val="1"/>
      <w:marLeft w:val="0"/>
      <w:marRight w:val="0"/>
      <w:marTop w:val="0"/>
      <w:marBottom w:val="0"/>
      <w:divBdr>
        <w:top w:val="none" w:sz="0" w:space="0" w:color="auto"/>
        <w:left w:val="none" w:sz="0" w:space="0" w:color="auto"/>
        <w:bottom w:val="none" w:sz="0" w:space="0" w:color="auto"/>
        <w:right w:val="none" w:sz="0" w:space="0" w:color="auto"/>
      </w:divBdr>
    </w:div>
    <w:div w:id="953560534">
      <w:bodyDiv w:val="1"/>
      <w:marLeft w:val="0"/>
      <w:marRight w:val="0"/>
      <w:marTop w:val="0"/>
      <w:marBottom w:val="0"/>
      <w:divBdr>
        <w:top w:val="none" w:sz="0" w:space="0" w:color="auto"/>
        <w:left w:val="none" w:sz="0" w:space="0" w:color="auto"/>
        <w:bottom w:val="none" w:sz="0" w:space="0" w:color="auto"/>
        <w:right w:val="none" w:sz="0" w:space="0" w:color="auto"/>
      </w:divBdr>
    </w:div>
    <w:div w:id="1042557097">
      <w:bodyDiv w:val="1"/>
      <w:marLeft w:val="0"/>
      <w:marRight w:val="0"/>
      <w:marTop w:val="0"/>
      <w:marBottom w:val="0"/>
      <w:divBdr>
        <w:top w:val="none" w:sz="0" w:space="0" w:color="auto"/>
        <w:left w:val="none" w:sz="0" w:space="0" w:color="auto"/>
        <w:bottom w:val="none" w:sz="0" w:space="0" w:color="auto"/>
        <w:right w:val="none" w:sz="0" w:space="0" w:color="auto"/>
      </w:divBdr>
    </w:div>
    <w:div w:id="1057898964">
      <w:bodyDiv w:val="1"/>
      <w:marLeft w:val="0"/>
      <w:marRight w:val="0"/>
      <w:marTop w:val="0"/>
      <w:marBottom w:val="0"/>
      <w:divBdr>
        <w:top w:val="none" w:sz="0" w:space="0" w:color="auto"/>
        <w:left w:val="none" w:sz="0" w:space="0" w:color="auto"/>
        <w:bottom w:val="none" w:sz="0" w:space="0" w:color="auto"/>
        <w:right w:val="none" w:sz="0" w:space="0" w:color="auto"/>
      </w:divBdr>
    </w:div>
    <w:div w:id="1071807864">
      <w:bodyDiv w:val="1"/>
      <w:marLeft w:val="0"/>
      <w:marRight w:val="0"/>
      <w:marTop w:val="0"/>
      <w:marBottom w:val="0"/>
      <w:divBdr>
        <w:top w:val="none" w:sz="0" w:space="0" w:color="auto"/>
        <w:left w:val="none" w:sz="0" w:space="0" w:color="auto"/>
        <w:bottom w:val="none" w:sz="0" w:space="0" w:color="auto"/>
        <w:right w:val="none" w:sz="0" w:space="0" w:color="auto"/>
      </w:divBdr>
    </w:div>
    <w:div w:id="1076513344">
      <w:bodyDiv w:val="1"/>
      <w:marLeft w:val="0"/>
      <w:marRight w:val="0"/>
      <w:marTop w:val="0"/>
      <w:marBottom w:val="0"/>
      <w:divBdr>
        <w:top w:val="none" w:sz="0" w:space="0" w:color="auto"/>
        <w:left w:val="none" w:sz="0" w:space="0" w:color="auto"/>
        <w:bottom w:val="none" w:sz="0" w:space="0" w:color="auto"/>
        <w:right w:val="none" w:sz="0" w:space="0" w:color="auto"/>
      </w:divBdr>
    </w:div>
    <w:div w:id="1078869228">
      <w:bodyDiv w:val="1"/>
      <w:marLeft w:val="0"/>
      <w:marRight w:val="0"/>
      <w:marTop w:val="0"/>
      <w:marBottom w:val="0"/>
      <w:divBdr>
        <w:top w:val="none" w:sz="0" w:space="0" w:color="auto"/>
        <w:left w:val="none" w:sz="0" w:space="0" w:color="auto"/>
        <w:bottom w:val="none" w:sz="0" w:space="0" w:color="auto"/>
        <w:right w:val="none" w:sz="0" w:space="0" w:color="auto"/>
      </w:divBdr>
    </w:div>
    <w:div w:id="1108741583">
      <w:bodyDiv w:val="1"/>
      <w:marLeft w:val="0"/>
      <w:marRight w:val="0"/>
      <w:marTop w:val="0"/>
      <w:marBottom w:val="0"/>
      <w:divBdr>
        <w:top w:val="none" w:sz="0" w:space="0" w:color="auto"/>
        <w:left w:val="none" w:sz="0" w:space="0" w:color="auto"/>
        <w:bottom w:val="none" w:sz="0" w:space="0" w:color="auto"/>
        <w:right w:val="none" w:sz="0" w:space="0" w:color="auto"/>
      </w:divBdr>
    </w:div>
    <w:div w:id="1142503047">
      <w:bodyDiv w:val="1"/>
      <w:marLeft w:val="0"/>
      <w:marRight w:val="0"/>
      <w:marTop w:val="0"/>
      <w:marBottom w:val="0"/>
      <w:divBdr>
        <w:top w:val="none" w:sz="0" w:space="0" w:color="auto"/>
        <w:left w:val="none" w:sz="0" w:space="0" w:color="auto"/>
        <w:bottom w:val="none" w:sz="0" w:space="0" w:color="auto"/>
        <w:right w:val="none" w:sz="0" w:space="0" w:color="auto"/>
      </w:divBdr>
    </w:div>
    <w:div w:id="1186795116">
      <w:bodyDiv w:val="1"/>
      <w:marLeft w:val="0"/>
      <w:marRight w:val="0"/>
      <w:marTop w:val="0"/>
      <w:marBottom w:val="0"/>
      <w:divBdr>
        <w:top w:val="none" w:sz="0" w:space="0" w:color="auto"/>
        <w:left w:val="none" w:sz="0" w:space="0" w:color="auto"/>
        <w:bottom w:val="none" w:sz="0" w:space="0" w:color="auto"/>
        <w:right w:val="none" w:sz="0" w:space="0" w:color="auto"/>
      </w:divBdr>
    </w:div>
    <w:div w:id="1194004121">
      <w:bodyDiv w:val="1"/>
      <w:marLeft w:val="0"/>
      <w:marRight w:val="0"/>
      <w:marTop w:val="0"/>
      <w:marBottom w:val="0"/>
      <w:divBdr>
        <w:top w:val="none" w:sz="0" w:space="0" w:color="auto"/>
        <w:left w:val="none" w:sz="0" w:space="0" w:color="auto"/>
        <w:bottom w:val="none" w:sz="0" w:space="0" w:color="auto"/>
        <w:right w:val="none" w:sz="0" w:space="0" w:color="auto"/>
      </w:divBdr>
    </w:div>
    <w:div w:id="1194536004">
      <w:bodyDiv w:val="1"/>
      <w:marLeft w:val="0"/>
      <w:marRight w:val="0"/>
      <w:marTop w:val="0"/>
      <w:marBottom w:val="0"/>
      <w:divBdr>
        <w:top w:val="none" w:sz="0" w:space="0" w:color="auto"/>
        <w:left w:val="none" w:sz="0" w:space="0" w:color="auto"/>
        <w:bottom w:val="none" w:sz="0" w:space="0" w:color="auto"/>
        <w:right w:val="none" w:sz="0" w:space="0" w:color="auto"/>
      </w:divBdr>
    </w:div>
    <w:div w:id="1211960625">
      <w:bodyDiv w:val="1"/>
      <w:marLeft w:val="0"/>
      <w:marRight w:val="0"/>
      <w:marTop w:val="0"/>
      <w:marBottom w:val="0"/>
      <w:divBdr>
        <w:top w:val="none" w:sz="0" w:space="0" w:color="auto"/>
        <w:left w:val="none" w:sz="0" w:space="0" w:color="auto"/>
        <w:bottom w:val="none" w:sz="0" w:space="0" w:color="auto"/>
        <w:right w:val="none" w:sz="0" w:space="0" w:color="auto"/>
      </w:divBdr>
    </w:div>
    <w:div w:id="1255285352">
      <w:bodyDiv w:val="1"/>
      <w:marLeft w:val="0"/>
      <w:marRight w:val="0"/>
      <w:marTop w:val="0"/>
      <w:marBottom w:val="0"/>
      <w:divBdr>
        <w:top w:val="none" w:sz="0" w:space="0" w:color="auto"/>
        <w:left w:val="none" w:sz="0" w:space="0" w:color="auto"/>
        <w:bottom w:val="none" w:sz="0" w:space="0" w:color="auto"/>
        <w:right w:val="none" w:sz="0" w:space="0" w:color="auto"/>
      </w:divBdr>
    </w:div>
    <w:div w:id="1265504007">
      <w:bodyDiv w:val="1"/>
      <w:marLeft w:val="0"/>
      <w:marRight w:val="0"/>
      <w:marTop w:val="0"/>
      <w:marBottom w:val="0"/>
      <w:divBdr>
        <w:top w:val="none" w:sz="0" w:space="0" w:color="auto"/>
        <w:left w:val="none" w:sz="0" w:space="0" w:color="auto"/>
        <w:bottom w:val="none" w:sz="0" w:space="0" w:color="auto"/>
        <w:right w:val="none" w:sz="0" w:space="0" w:color="auto"/>
      </w:divBdr>
    </w:div>
    <w:div w:id="1270435482">
      <w:bodyDiv w:val="1"/>
      <w:marLeft w:val="0"/>
      <w:marRight w:val="0"/>
      <w:marTop w:val="0"/>
      <w:marBottom w:val="0"/>
      <w:divBdr>
        <w:top w:val="none" w:sz="0" w:space="0" w:color="auto"/>
        <w:left w:val="none" w:sz="0" w:space="0" w:color="auto"/>
        <w:bottom w:val="none" w:sz="0" w:space="0" w:color="auto"/>
        <w:right w:val="none" w:sz="0" w:space="0" w:color="auto"/>
      </w:divBdr>
    </w:div>
    <w:div w:id="1279408018">
      <w:bodyDiv w:val="1"/>
      <w:marLeft w:val="0"/>
      <w:marRight w:val="0"/>
      <w:marTop w:val="0"/>
      <w:marBottom w:val="0"/>
      <w:divBdr>
        <w:top w:val="none" w:sz="0" w:space="0" w:color="auto"/>
        <w:left w:val="none" w:sz="0" w:space="0" w:color="auto"/>
        <w:bottom w:val="none" w:sz="0" w:space="0" w:color="auto"/>
        <w:right w:val="none" w:sz="0" w:space="0" w:color="auto"/>
      </w:divBdr>
    </w:div>
    <w:div w:id="1280915436">
      <w:bodyDiv w:val="1"/>
      <w:marLeft w:val="0"/>
      <w:marRight w:val="0"/>
      <w:marTop w:val="0"/>
      <w:marBottom w:val="0"/>
      <w:divBdr>
        <w:top w:val="none" w:sz="0" w:space="0" w:color="auto"/>
        <w:left w:val="none" w:sz="0" w:space="0" w:color="auto"/>
        <w:bottom w:val="none" w:sz="0" w:space="0" w:color="auto"/>
        <w:right w:val="none" w:sz="0" w:space="0" w:color="auto"/>
      </w:divBdr>
    </w:div>
    <w:div w:id="1283727295">
      <w:bodyDiv w:val="1"/>
      <w:marLeft w:val="0"/>
      <w:marRight w:val="0"/>
      <w:marTop w:val="0"/>
      <w:marBottom w:val="0"/>
      <w:divBdr>
        <w:top w:val="none" w:sz="0" w:space="0" w:color="auto"/>
        <w:left w:val="none" w:sz="0" w:space="0" w:color="auto"/>
        <w:bottom w:val="none" w:sz="0" w:space="0" w:color="auto"/>
        <w:right w:val="none" w:sz="0" w:space="0" w:color="auto"/>
      </w:divBdr>
    </w:div>
    <w:div w:id="1334996003">
      <w:bodyDiv w:val="1"/>
      <w:marLeft w:val="0"/>
      <w:marRight w:val="0"/>
      <w:marTop w:val="0"/>
      <w:marBottom w:val="0"/>
      <w:divBdr>
        <w:top w:val="none" w:sz="0" w:space="0" w:color="auto"/>
        <w:left w:val="none" w:sz="0" w:space="0" w:color="auto"/>
        <w:bottom w:val="none" w:sz="0" w:space="0" w:color="auto"/>
        <w:right w:val="none" w:sz="0" w:space="0" w:color="auto"/>
      </w:divBdr>
    </w:div>
    <w:div w:id="1338774178">
      <w:bodyDiv w:val="1"/>
      <w:marLeft w:val="0"/>
      <w:marRight w:val="0"/>
      <w:marTop w:val="0"/>
      <w:marBottom w:val="0"/>
      <w:divBdr>
        <w:top w:val="none" w:sz="0" w:space="0" w:color="auto"/>
        <w:left w:val="none" w:sz="0" w:space="0" w:color="auto"/>
        <w:bottom w:val="none" w:sz="0" w:space="0" w:color="auto"/>
        <w:right w:val="none" w:sz="0" w:space="0" w:color="auto"/>
      </w:divBdr>
    </w:div>
    <w:div w:id="1355300842">
      <w:bodyDiv w:val="1"/>
      <w:marLeft w:val="0"/>
      <w:marRight w:val="0"/>
      <w:marTop w:val="0"/>
      <w:marBottom w:val="0"/>
      <w:divBdr>
        <w:top w:val="none" w:sz="0" w:space="0" w:color="auto"/>
        <w:left w:val="none" w:sz="0" w:space="0" w:color="auto"/>
        <w:bottom w:val="none" w:sz="0" w:space="0" w:color="auto"/>
        <w:right w:val="none" w:sz="0" w:space="0" w:color="auto"/>
      </w:divBdr>
    </w:div>
    <w:div w:id="1379622846">
      <w:bodyDiv w:val="1"/>
      <w:marLeft w:val="0"/>
      <w:marRight w:val="0"/>
      <w:marTop w:val="0"/>
      <w:marBottom w:val="0"/>
      <w:divBdr>
        <w:top w:val="none" w:sz="0" w:space="0" w:color="auto"/>
        <w:left w:val="none" w:sz="0" w:space="0" w:color="auto"/>
        <w:bottom w:val="none" w:sz="0" w:space="0" w:color="auto"/>
        <w:right w:val="none" w:sz="0" w:space="0" w:color="auto"/>
      </w:divBdr>
    </w:div>
    <w:div w:id="1407263594">
      <w:bodyDiv w:val="1"/>
      <w:marLeft w:val="0"/>
      <w:marRight w:val="0"/>
      <w:marTop w:val="0"/>
      <w:marBottom w:val="0"/>
      <w:divBdr>
        <w:top w:val="none" w:sz="0" w:space="0" w:color="auto"/>
        <w:left w:val="none" w:sz="0" w:space="0" w:color="auto"/>
        <w:bottom w:val="none" w:sz="0" w:space="0" w:color="auto"/>
        <w:right w:val="none" w:sz="0" w:space="0" w:color="auto"/>
      </w:divBdr>
    </w:div>
    <w:div w:id="1409108584">
      <w:bodyDiv w:val="1"/>
      <w:marLeft w:val="0"/>
      <w:marRight w:val="0"/>
      <w:marTop w:val="0"/>
      <w:marBottom w:val="0"/>
      <w:divBdr>
        <w:top w:val="none" w:sz="0" w:space="0" w:color="auto"/>
        <w:left w:val="none" w:sz="0" w:space="0" w:color="auto"/>
        <w:bottom w:val="none" w:sz="0" w:space="0" w:color="auto"/>
        <w:right w:val="none" w:sz="0" w:space="0" w:color="auto"/>
      </w:divBdr>
    </w:div>
    <w:div w:id="1417358287">
      <w:bodyDiv w:val="1"/>
      <w:marLeft w:val="0"/>
      <w:marRight w:val="0"/>
      <w:marTop w:val="0"/>
      <w:marBottom w:val="0"/>
      <w:divBdr>
        <w:top w:val="none" w:sz="0" w:space="0" w:color="auto"/>
        <w:left w:val="none" w:sz="0" w:space="0" w:color="auto"/>
        <w:bottom w:val="none" w:sz="0" w:space="0" w:color="auto"/>
        <w:right w:val="none" w:sz="0" w:space="0" w:color="auto"/>
      </w:divBdr>
    </w:div>
    <w:div w:id="1421679141">
      <w:bodyDiv w:val="1"/>
      <w:marLeft w:val="0"/>
      <w:marRight w:val="0"/>
      <w:marTop w:val="0"/>
      <w:marBottom w:val="0"/>
      <w:divBdr>
        <w:top w:val="none" w:sz="0" w:space="0" w:color="auto"/>
        <w:left w:val="none" w:sz="0" w:space="0" w:color="auto"/>
        <w:bottom w:val="none" w:sz="0" w:space="0" w:color="auto"/>
        <w:right w:val="none" w:sz="0" w:space="0" w:color="auto"/>
      </w:divBdr>
    </w:div>
    <w:div w:id="1458792605">
      <w:bodyDiv w:val="1"/>
      <w:marLeft w:val="0"/>
      <w:marRight w:val="0"/>
      <w:marTop w:val="0"/>
      <w:marBottom w:val="0"/>
      <w:divBdr>
        <w:top w:val="none" w:sz="0" w:space="0" w:color="auto"/>
        <w:left w:val="none" w:sz="0" w:space="0" w:color="auto"/>
        <w:bottom w:val="none" w:sz="0" w:space="0" w:color="auto"/>
        <w:right w:val="none" w:sz="0" w:space="0" w:color="auto"/>
      </w:divBdr>
    </w:div>
    <w:div w:id="1480729819">
      <w:bodyDiv w:val="1"/>
      <w:marLeft w:val="0"/>
      <w:marRight w:val="0"/>
      <w:marTop w:val="0"/>
      <w:marBottom w:val="0"/>
      <w:divBdr>
        <w:top w:val="none" w:sz="0" w:space="0" w:color="auto"/>
        <w:left w:val="none" w:sz="0" w:space="0" w:color="auto"/>
        <w:bottom w:val="none" w:sz="0" w:space="0" w:color="auto"/>
        <w:right w:val="none" w:sz="0" w:space="0" w:color="auto"/>
      </w:divBdr>
    </w:div>
    <w:div w:id="1488788795">
      <w:bodyDiv w:val="1"/>
      <w:marLeft w:val="0"/>
      <w:marRight w:val="0"/>
      <w:marTop w:val="0"/>
      <w:marBottom w:val="0"/>
      <w:divBdr>
        <w:top w:val="none" w:sz="0" w:space="0" w:color="auto"/>
        <w:left w:val="none" w:sz="0" w:space="0" w:color="auto"/>
        <w:bottom w:val="none" w:sz="0" w:space="0" w:color="auto"/>
        <w:right w:val="none" w:sz="0" w:space="0" w:color="auto"/>
      </w:divBdr>
    </w:div>
    <w:div w:id="1526022609">
      <w:bodyDiv w:val="1"/>
      <w:marLeft w:val="0"/>
      <w:marRight w:val="0"/>
      <w:marTop w:val="0"/>
      <w:marBottom w:val="0"/>
      <w:divBdr>
        <w:top w:val="none" w:sz="0" w:space="0" w:color="auto"/>
        <w:left w:val="none" w:sz="0" w:space="0" w:color="auto"/>
        <w:bottom w:val="none" w:sz="0" w:space="0" w:color="auto"/>
        <w:right w:val="none" w:sz="0" w:space="0" w:color="auto"/>
      </w:divBdr>
    </w:div>
    <w:div w:id="1555265551">
      <w:bodyDiv w:val="1"/>
      <w:marLeft w:val="0"/>
      <w:marRight w:val="0"/>
      <w:marTop w:val="0"/>
      <w:marBottom w:val="0"/>
      <w:divBdr>
        <w:top w:val="none" w:sz="0" w:space="0" w:color="auto"/>
        <w:left w:val="none" w:sz="0" w:space="0" w:color="auto"/>
        <w:bottom w:val="none" w:sz="0" w:space="0" w:color="auto"/>
        <w:right w:val="none" w:sz="0" w:space="0" w:color="auto"/>
      </w:divBdr>
    </w:div>
    <w:div w:id="1611163027">
      <w:bodyDiv w:val="1"/>
      <w:marLeft w:val="0"/>
      <w:marRight w:val="0"/>
      <w:marTop w:val="0"/>
      <w:marBottom w:val="0"/>
      <w:divBdr>
        <w:top w:val="none" w:sz="0" w:space="0" w:color="auto"/>
        <w:left w:val="none" w:sz="0" w:space="0" w:color="auto"/>
        <w:bottom w:val="none" w:sz="0" w:space="0" w:color="auto"/>
        <w:right w:val="none" w:sz="0" w:space="0" w:color="auto"/>
      </w:divBdr>
    </w:div>
    <w:div w:id="1681272458">
      <w:bodyDiv w:val="1"/>
      <w:marLeft w:val="0"/>
      <w:marRight w:val="0"/>
      <w:marTop w:val="0"/>
      <w:marBottom w:val="0"/>
      <w:divBdr>
        <w:top w:val="none" w:sz="0" w:space="0" w:color="auto"/>
        <w:left w:val="none" w:sz="0" w:space="0" w:color="auto"/>
        <w:bottom w:val="none" w:sz="0" w:space="0" w:color="auto"/>
        <w:right w:val="none" w:sz="0" w:space="0" w:color="auto"/>
      </w:divBdr>
    </w:div>
    <w:div w:id="1695382714">
      <w:bodyDiv w:val="1"/>
      <w:marLeft w:val="0"/>
      <w:marRight w:val="0"/>
      <w:marTop w:val="0"/>
      <w:marBottom w:val="0"/>
      <w:divBdr>
        <w:top w:val="none" w:sz="0" w:space="0" w:color="auto"/>
        <w:left w:val="none" w:sz="0" w:space="0" w:color="auto"/>
        <w:bottom w:val="none" w:sz="0" w:space="0" w:color="auto"/>
        <w:right w:val="none" w:sz="0" w:space="0" w:color="auto"/>
      </w:divBdr>
    </w:div>
    <w:div w:id="1703744519">
      <w:bodyDiv w:val="1"/>
      <w:marLeft w:val="0"/>
      <w:marRight w:val="0"/>
      <w:marTop w:val="0"/>
      <w:marBottom w:val="0"/>
      <w:divBdr>
        <w:top w:val="none" w:sz="0" w:space="0" w:color="auto"/>
        <w:left w:val="none" w:sz="0" w:space="0" w:color="auto"/>
        <w:bottom w:val="none" w:sz="0" w:space="0" w:color="auto"/>
        <w:right w:val="none" w:sz="0" w:space="0" w:color="auto"/>
      </w:divBdr>
    </w:div>
    <w:div w:id="1733044227">
      <w:bodyDiv w:val="1"/>
      <w:marLeft w:val="0"/>
      <w:marRight w:val="0"/>
      <w:marTop w:val="0"/>
      <w:marBottom w:val="0"/>
      <w:divBdr>
        <w:top w:val="none" w:sz="0" w:space="0" w:color="auto"/>
        <w:left w:val="none" w:sz="0" w:space="0" w:color="auto"/>
        <w:bottom w:val="none" w:sz="0" w:space="0" w:color="auto"/>
        <w:right w:val="none" w:sz="0" w:space="0" w:color="auto"/>
      </w:divBdr>
    </w:div>
    <w:div w:id="1742412582">
      <w:bodyDiv w:val="1"/>
      <w:marLeft w:val="0"/>
      <w:marRight w:val="0"/>
      <w:marTop w:val="0"/>
      <w:marBottom w:val="0"/>
      <w:divBdr>
        <w:top w:val="none" w:sz="0" w:space="0" w:color="auto"/>
        <w:left w:val="none" w:sz="0" w:space="0" w:color="auto"/>
        <w:bottom w:val="none" w:sz="0" w:space="0" w:color="auto"/>
        <w:right w:val="none" w:sz="0" w:space="0" w:color="auto"/>
      </w:divBdr>
    </w:div>
    <w:div w:id="1766076684">
      <w:bodyDiv w:val="1"/>
      <w:marLeft w:val="0"/>
      <w:marRight w:val="0"/>
      <w:marTop w:val="0"/>
      <w:marBottom w:val="0"/>
      <w:divBdr>
        <w:top w:val="none" w:sz="0" w:space="0" w:color="auto"/>
        <w:left w:val="none" w:sz="0" w:space="0" w:color="auto"/>
        <w:bottom w:val="none" w:sz="0" w:space="0" w:color="auto"/>
        <w:right w:val="none" w:sz="0" w:space="0" w:color="auto"/>
      </w:divBdr>
    </w:div>
    <w:div w:id="1768574185">
      <w:bodyDiv w:val="1"/>
      <w:marLeft w:val="0"/>
      <w:marRight w:val="0"/>
      <w:marTop w:val="0"/>
      <w:marBottom w:val="0"/>
      <w:divBdr>
        <w:top w:val="none" w:sz="0" w:space="0" w:color="auto"/>
        <w:left w:val="none" w:sz="0" w:space="0" w:color="auto"/>
        <w:bottom w:val="none" w:sz="0" w:space="0" w:color="auto"/>
        <w:right w:val="none" w:sz="0" w:space="0" w:color="auto"/>
      </w:divBdr>
    </w:div>
    <w:div w:id="1809860695">
      <w:bodyDiv w:val="1"/>
      <w:marLeft w:val="0"/>
      <w:marRight w:val="0"/>
      <w:marTop w:val="0"/>
      <w:marBottom w:val="0"/>
      <w:divBdr>
        <w:top w:val="none" w:sz="0" w:space="0" w:color="auto"/>
        <w:left w:val="none" w:sz="0" w:space="0" w:color="auto"/>
        <w:bottom w:val="none" w:sz="0" w:space="0" w:color="auto"/>
        <w:right w:val="none" w:sz="0" w:space="0" w:color="auto"/>
      </w:divBdr>
    </w:div>
    <w:div w:id="1828741060">
      <w:bodyDiv w:val="1"/>
      <w:marLeft w:val="0"/>
      <w:marRight w:val="0"/>
      <w:marTop w:val="0"/>
      <w:marBottom w:val="0"/>
      <w:divBdr>
        <w:top w:val="none" w:sz="0" w:space="0" w:color="auto"/>
        <w:left w:val="none" w:sz="0" w:space="0" w:color="auto"/>
        <w:bottom w:val="none" w:sz="0" w:space="0" w:color="auto"/>
        <w:right w:val="none" w:sz="0" w:space="0" w:color="auto"/>
      </w:divBdr>
    </w:div>
    <w:div w:id="1862741512">
      <w:bodyDiv w:val="1"/>
      <w:marLeft w:val="0"/>
      <w:marRight w:val="0"/>
      <w:marTop w:val="0"/>
      <w:marBottom w:val="0"/>
      <w:divBdr>
        <w:top w:val="none" w:sz="0" w:space="0" w:color="auto"/>
        <w:left w:val="none" w:sz="0" w:space="0" w:color="auto"/>
        <w:bottom w:val="none" w:sz="0" w:space="0" w:color="auto"/>
        <w:right w:val="none" w:sz="0" w:space="0" w:color="auto"/>
      </w:divBdr>
    </w:div>
    <w:div w:id="1876887860">
      <w:bodyDiv w:val="1"/>
      <w:marLeft w:val="0"/>
      <w:marRight w:val="0"/>
      <w:marTop w:val="0"/>
      <w:marBottom w:val="0"/>
      <w:divBdr>
        <w:top w:val="none" w:sz="0" w:space="0" w:color="auto"/>
        <w:left w:val="none" w:sz="0" w:space="0" w:color="auto"/>
        <w:bottom w:val="none" w:sz="0" w:space="0" w:color="auto"/>
        <w:right w:val="none" w:sz="0" w:space="0" w:color="auto"/>
      </w:divBdr>
    </w:div>
    <w:div w:id="1902934891">
      <w:bodyDiv w:val="1"/>
      <w:marLeft w:val="0"/>
      <w:marRight w:val="0"/>
      <w:marTop w:val="0"/>
      <w:marBottom w:val="0"/>
      <w:divBdr>
        <w:top w:val="none" w:sz="0" w:space="0" w:color="auto"/>
        <w:left w:val="none" w:sz="0" w:space="0" w:color="auto"/>
        <w:bottom w:val="none" w:sz="0" w:space="0" w:color="auto"/>
        <w:right w:val="none" w:sz="0" w:space="0" w:color="auto"/>
      </w:divBdr>
    </w:div>
    <w:div w:id="1906066488">
      <w:bodyDiv w:val="1"/>
      <w:marLeft w:val="0"/>
      <w:marRight w:val="0"/>
      <w:marTop w:val="0"/>
      <w:marBottom w:val="0"/>
      <w:divBdr>
        <w:top w:val="none" w:sz="0" w:space="0" w:color="auto"/>
        <w:left w:val="none" w:sz="0" w:space="0" w:color="auto"/>
        <w:bottom w:val="none" w:sz="0" w:space="0" w:color="auto"/>
        <w:right w:val="none" w:sz="0" w:space="0" w:color="auto"/>
      </w:divBdr>
    </w:div>
    <w:div w:id="1916669690">
      <w:bodyDiv w:val="1"/>
      <w:marLeft w:val="0"/>
      <w:marRight w:val="0"/>
      <w:marTop w:val="0"/>
      <w:marBottom w:val="0"/>
      <w:divBdr>
        <w:top w:val="none" w:sz="0" w:space="0" w:color="auto"/>
        <w:left w:val="none" w:sz="0" w:space="0" w:color="auto"/>
        <w:bottom w:val="none" w:sz="0" w:space="0" w:color="auto"/>
        <w:right w:val="none" w:sz="0" w:space="0" w:color="auto"/>
      </w:divBdr>
    </w:div>
    <w:div w:id="1927183664">
      <w:bodyDiv w:val="1"/>
      <w:marLeft w:val="0"/>
      <w:marRight w:val="0"/>
      <w:marTop w:val="0"/>
      <w:marBottom w:val="0"/>
      <w:divBdr>
        <w:top w:val="none" w:sz="0" w:space="0" w:color="auto"/>
        <w:left w:val="none" w:sz="0" w:space="0" w:color="auto"/>
        <w:bottom w:val="none" w:sz="0" w:space="0" w:color="auto"/>
        <w:right w:val="none" w:sz="0" w:space="0" w:color="auto"/>
      </w:divBdr>
    </w:div>
    <w:div w:id="1950045838">
      <w:bodyDiv w:val="1"/>
      <w:marLeft w:val="0"/>
      <w:marRight w:val="0"/>
      <w:marTop w:val="0"/>
      <w:marBottom w:val="0"/>
      <w:divBdr>
        <w:top w:val="none" w:sz="0" w:space="0" w:color="auto"/>
        <w:left w:val="none" w:sz="0" w:space="0" w:color="auto"/>
        <w:bottom w:val="none" w:sz="0" w:space="0" w:color="auto"/>
        <w:right w:val="none" w:sz="0" w:space="0" w:color="auto"/>
      </w:divBdr>
    </w:div>
    <w:div w:id="2029092016">
      <w:bodyDiv w:val="1"/>
      <w:marLeft w:val="0"/>
      <w:marRight w:val="0"/>
      <w:marTop w:val="0"/>
      <w:marBottom w:val="0"/>
      <w:divBdr>
        <w:top w:val="none" w:sz="0" w:space="0" w:color="auto"/>
        <w:left w:val="none" w:sz="0" w:space="0" w:color="auto"/>
        <w:bottom w:val="none" w:sz="0" w:space="0" w:color="auto"/>
        <w:right w:val="none" w:sz="0" w:space="0" w:color="auto"/>
      </w:divBdr>
    </w:div>
    <w:div w:id="2054190411">
      <w:bodyDiv w:val="1"/>
      <w:marLeft w:val="0"/>
      <w:marRight w:val="0"/>
      <w:marTop w:val="0"/>
      <w:marBottom w:val="0"/>
      <w:divBdr>
        <w:top w:val="none" w:sz="0" w:space="0" w:color="auto"/>
        <w:left w:val="none" w:sz="0" w:space="0" w:color="auto"/>
        <w:bottom w:val="none" w:sz="0" w:space="0" w:color="auto"/>
        <w:right w:val="none" w:sz="0" w:space="0" w:color="auto"/>
      </w:divBdr>
    </w:div>
    <w:div w:id="2082362124">
      <w:bodyDiv w:val="1"/>
      <w:marLeft w:val="0"/>
      <w:marRight w:val="0"/>
      <w:marTop w:val="0"/>
      <w:marBottom w:val="0"/>
      <w:divBdr>
        <w:top w:val="none" w:sz="0" w:space="0" w:color="auto"/>
        <w:left w:val="none" w:sz="0" w:space="0" w:color="auto"/>
        <w:bottom w:val="none" w:sz="0" w:space="0" w:color="auto"/>
        <w:right w:val="none" w:sz="0" w:space="0" w:color="auto"/>
      </w:divBdr>
    </w:div>
    <w:div w:id="2085298031">
      <w:bodyDiv w:val="1"/>
      <w:marLeft w:val="0"/>
      <w:marRight w:val="0"/>
      <w:marTop w:val="0"/>
      <w:marBottom w:val="0"/>
      <w:divBdr>
        <w:top w:val="none" w:sz="0" w:space="0" w:color="auto"/>
        <w:left w:val="none" w:sz="0" w:space="0" w:color="auto"/>
        <w:bottom w:val="none" w:sz="0" w:space="0" w:color="auto"/>
        <w:right w:val="none" w:sz="0" w:space="0" w:color="auto"/>
      </w:divBdr>
    </w:div>
    <w:div w:id="2105681207">
      <w:bodyDiv w:val="1"/>
      <w:marLeft w:val="0"/>
      <w:marRight w:val="0"/>
      <w:marTop w:val="0"/>
      <w:marBottom w:val="0"/>
      <w:divBdr>
        <w:top w:val="none" w:sz="0" w:space="0" w:color="auto"/>
        <w:left w:val="none" w:sz="0" w:space="0" w:color="auto"/>
        <w:bottom w:val="none" w:sz="0" w:space="0" w:color="auto"/>
        <w:right w:val="none" w:sz="0" w:space="0" w:color="auto"/>
      </w:divBdr>
    </w:div>
    <w:div w:id="2114130381">
      <w:bodyDiv w:val="1"/>
      <w:marLeft w:val="0"/>
      <w:marRight w:val="0"/>
      <w:marTop w:val="0"/>
      <w:marBottom w:val="0"/>
      <w:divBdr>
        <w:top w:val="none" w:sz="0" w:space="0" w:color="auto"/>
        <w:left w:val="none" w:sz="0" w:space="0" w:color="auto"/>
        <w:bottom w:val="none" w:sz="0" w:space="0" w:color="auto"/>
        <w:right w:val="none" w:sz="0" w:space="0" w:color="auto"/>
      </w:divBdr>
    </w:div>
    <w:div w:id="2125228135">
      <w:bodyDiv w:val="1"/>
      <w:marLeft w:val="0"/>
      <w:marRight w:val="0"/>
      <w:marTop w:val="0"/>
      <w:marBottom w:val="0"/>
      <w:divBdr>
        <w:top w:val="none" w:sz="0" w:space="0" w:color="auto"/>
        <w:left w:val="none" w:sz="0" w:space="0" w:color="auto"/>
        <w:bottom w:val="none" w:sz="0" w:space="0" w:color="auto"/>
        <w:right w:val="none" w:sz="0" w:space="0" w:color="auto"/>
      </w:divBdr>
    </w:div>
    <w:div w:id="2131823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eforum.org/reports/financial-development-report-2012" TargetMode="External"/><Relationship Id="rId4" Type="http://schemas.openxmlformats.org/officeDocument/2006/relationships/settings" Target="settings.xml"/><Relationship Id="rId9" Type="http://schemas.openxmlformats.org/officeDocument/2006/relationships/hyperlink" Target="http://www.sec.gov/comments/4-573/4573-79.pdf"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ertula\Local%20Settings\Temporary%20Internet%20Files\Content.IE5\3U6MN30Q\hanken_avhandlingsmall_sve%5b1%5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C8639-0A74-4E0A-9EAE-BA3CC0DB8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hanken_avhandlingsmall_sve[1].dotx</Template>
  <TotalTime>0</TotalTime>
  <Pages>33</Pages>
  <Words>11167</Words>
  <Characters>61135</Characters>
  <Application>Microsoft Office Word</Application>
  <DocSecurity>0</DocSecurity>
  <Lines>509</Lines>
  <Paragraphs>144</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Hanken_avhandlingsmall_sve</vt:lpstr>
      <vt:lpstr>Hanken_avhandlingsmall_sve</vt:lpstr>
    </vt:vector>
  </TitlesOfParts>
  <Company>Edita Prima Oy</Company>
  <LinksUpToDate>false</LinksUpToDate>
  <CharactersWithSpaces>72158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Hanken_avhandlingsmall_sve</dc:title>
  <dc:creator>bertula</dc:creator>
  <cp:lastModifiedBy>Margareta Danielsson</cp:lastModifiedBy>
  <cp:revision>2</cp:revision>
  <cp:lastPrinted>2015-06-22T10:31:00Z</cp:lastPrinted>
  <dcterms:created xsi:type="dcterms:W3CDTF">2017-09-07T03:47:00Z</dcterms:created>
  <dcterms:modified xsi:type="dcterms:W3CDTF">2017-09-07T03:47:00Z</dcterms:modified>
</cp:coreProperties>
</file>